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sz w:val="36"/>
          <w:szCs w:val="36"/>
        </w:rPr>
      </w:pPr>
    </w:p>
    <w:p>
      <w:pPr>
        <w:rPr>
          <w:color w:val="auto"/>
          <w:sz w:val="36"/>
          <w:szCs w:val="36"/>
        </w:rPr>
      </w:pPr>
    </w:p>
    <w:p>
      <w:pPr>
        <w:adjustRightInd w:val="0"/>
        <w:snapToGrid w:val="0"/>
        <w:jc w:val="center"/>
        <w:outlineLvl w:val="0"/>
        <w:rPr>
          <w:bCs/>
          <w:color w:val="auto"/>
          <w:sz w:val="72"/>
          <w:szCs w:val="72"/>
        </w:rPr>
      </w:pPr>
      <w:r>
        <w:rPr>
          <w:bCs/>
          <w:color w:val="auto"/>
          <w:sz w:val="72"/>
          <w:szCs w:val="72"/>
        </w:rPr>
        <w:t>建设项目环境影响报告表</w:t>
      </w:r>
    </w:p>
    <w:p>
      <w:pPr>
        <w:adjustRightInd w:val="0"/>
        <w:snapToGrid w:val="0"/>
        <w:spacing w:beforeLines="80"/>
        <w:jc w:val="center"/>
        <w:rPr>
          <w:bCs/>
          <w:color w:val="auto"/>
          <w:sz w:val="48"/>
          <w:szCs w:val="48"/>
        </w:rPr>
      </w:pPr>
      <w:r>
        <w:rPr>
          <w:bCs/>
          <w:color w:val="auto"/>
          <w:sz w:val="48"/>
          <w:szCs w:val="48"/>
        </w:rPr>
        <w:t>（污染影响类）</w:t>
      </w:r>
    </w:p>
    <w:p>
      <w:pPr>
        <w:adjustRightInd w:val="0"/>
        <w:snapToGrid w:val="0"/>
        <w:spacing w:line="288" w:lineRule="auto"/>
        <w:jc w:val="center"/>
        <w:outlineLvl w:val="0"/>
        <w:rPr>
          <w:color w:val="auto"/>
          <w:kern w:val="44"/>
          <w:sz w:val="44"/>
          <w:szCs w:val="44"/>
        </w:rPr>
      </w:pPr>
    </w:p>
    <w:p>
      <w:pPr>
        <w:jc w:val="center"/>
        <w:rPr>
          <w:color w:val="auto"/>
          <w:sz w:val="52"/>
          <w:szCs w:val="52"/>
        </w:rPr>
      </w:pPr>
    </w:p>
    <w:p>
      <w:pPr>
        <w:ind w:firstLine="1040"/>
        <w:rPr>
          <w:color w:val="auto"/>
          <w:sz w:val="44"/>
          <w:szCs w:val="44"/>
        </w:rPr>
      </w:pPr>
    </w:p>
    <w:p>
      <w:pPr>
        <w:ind w:firstLine="1040"/>
        <w:rPr>
          <w:color w:val="auto"/>
          <w:sz w:val="44"/>
          <w:szCs w:val="44"/>
        </w:rPr>
      </w:pPr>
    </w:p>
    <w:p>
      <w:pPr>
        <w:ind w:firstLine="1040"/>
        <w:rPr>
          <w:color w:val="auto"/>
          <w:sz w:val="44"/>
          <w:szCs w:val="44"/>
        </w:rPr>
      </w:pPr>
    </w:p>
    <w:p>
      <w:pPr>
        <w:spacing w:line="360" w:lineRule="auto"/>
        <w:ind w:firstLine="1040"/>
        <w:rPr>
          <w:color w:val="auto"/>
          <w:sz w:val="44"/>
          <w:szCs w:val="44"/>
        </w:rPr>
      </w:pPr>
    </w:p>
    <w:p>
      <w:pPr>
        <w:adjustRightInd w:val="0"/>
        <w:snapToGrid w:val="0"/>
        <w:spacing w:line="360" w:lineRule="auto"/>
        <w:ind w:firstLine="1040"/>
        <w:rPr>
          <w:color w:val="auto"/>
          <w:sz w:val="36"/>
          <w:szCs w:val="36"/>
          <w:u w:val="single"/>
        </w:rPr>
      </w:pPr>
      <w:r>
        <w:rPr>
          <w:color w:val="auto"/>
          <w:sz w:val="36"/>
          <w:szCs w:val="36"/>
        </w:rPr>
        <w:t>项目名称：</w:t>
      </w:r>
      <w:r>
        <w:rPr>
          <w:rFonts w:hint="eastAsia"/>
          <w:color w:val="auto"/>
          <w:sz w:val="36"/>
          <w:szCs w:val="36"/>
          <w:u w:val="single"/>
        </w:rPr>
        <w:t>新建自用危险化学品专用仓库项目</w:t>
      </w:r>
    </w:p>
    <w:p>
      <w:pPr>
        <w:adjustRightInd w:val="0"/>
        <w:snapToGrid w:val="0"/>
        <w:spacing w:line="360" w:lineRule="auto"/>
        <w:ind w:firstLine="1040"/>
        <w:rPr>
          <w:color w:val="auto"/>
          <w:sz w:val="36"/>
          <w:szCs w:val="36"/>
          <w:u w:val="single"/>
        </w:rPr>
      </w:pPr>
      <w:r>
        <w:rPr>
          <w:color w:val="auto"/>
          <w:sz w:val="36"/>
          <w:szCs w:val="36"/>
        </w:rPr>
        <w:t>建设单位（盖章）：</w:t>
      </w:r>
      <w:r>
        <w:rPr>
          <w:rFonts w:hint="eastAsia"/>
          <w:color w:val="auto"/>
          <w:sz w:val="36"/>
          <w:szCs w:val="36"/>
          <w:u w:val="single"/>
        </w:rPr>
        <w:t>朴华（苏州）康复科技有限公司</w:t>
      </w:r>
    </w:p>
    <w:p>
      <w:pPr>
        <w:adjustRightInd w:val="0"/>
        <w:snapToGrid w:val="0"/>
        <w:spacing w:line="360" w:lineRule="auto"/>
        <w:ind w:firstLine="1040"/>
        <w:rPr>
          <w:color w:val="auto"/>
          <w:sz w:val="36"/>
          <w:szCs w:val="36"/>
        </w:rPr>
      </w:pPr>
      <w:r>
        <w:rPr>
          <w:color w:val="auto"/>
          <w:sz w:val="36"/>
          <w:szCs w:val="36"/>
        </w:rPr>
        <w:t>编制日期：</w:t>
      </w:r>
      <w:r>
        <w:rPr>
          <w:color w:val="auto"/>
          <w:sz w:val="36"/>
          <w:szCs w:val="36"/>
          <w:u w:val="single"/>
        </w:rPr>
        <w:t>2023年</w:t>
      </w:r>
      <w:r>
        <w:rPr>
          <w:rFonts w:hint="eastAsia"/>
          <w:color w:val="auto"/>
          <w:sz w:val="36"/>
          <w:szCs w:val="36"/>
          <w:u w:val="single"/>
        </w:rPr>
        <w:t>11</w:t>
      </w:r>
      <w:r>
        <w:rPr>
          <w:color w:val="auto"/>
          <w:sz w:val="36"/>
          <w:szCs w:val="36"/>
          <w:u w:val="single"/>
        </w:rPr>
        <w:t>月</w:t>
      </w:r>
    </w:p>
    <w:p>
      <w:pPr>
        <w:adjustRightInd w:val="0"/>
        <w:snapToGrid w:val="0"/>
        <w:spacing w:line="360" w:lineRule="auto"/>
        <w:ind w:firstLine="1040"/>
        <w:rPr>
          <w:color w:val="auto"/>
          <w:sz w:val="36"/>
          <w:szCs w:val="36"/>
        </w:rPr>
      </w:pPr>
      <w:bookmarkStart w:id="0" w:name="_Hlk57884087"/>
    </w:p>
    <w:p>
      <w:pPr>
        <w:adjustRightInd w:val="0"/>
        <w:snapToGrid w:val="0"/>
        <w:spacing w:line="288" w:lineRule="auto"/>
        <w:ind w:firstLine="1040"/>
        <w:rPr>
          <w:color w:val="auto"/>
          <w:sz w:val="36"/>
          <w:szCs w:val="36"/>
        </w:rPr>
      </w:pPr>
    </w:p>
    <w:p>
      <w:pPr>
        <w:adjustRightInd w:val="0"/>
        <w:snapToGrid w:val="0"/>
        <w:spacing w:line="288" w:lineRule="auto"/>
        <w:ind w:firstLine="1040"/>
        <w:rPr>
          <w:color w:val="auto"/>
          <w:sz w:val="36"/>
          <w:szCs w:val="36"/>
        </w:rPr>
      </w:pPr>
    </w:p>
    <w:p>
      <w:pPr>
        <w:adjustRightInd w:val="0"/>
        <w:snapToGrid w:val="0"/>
        <w:spacing w:line="288" w:lineRule="auto"/>
        <w:ind w:firstLine="1040"/>
        <w:rPr>
          <w:color w:val="auto"/>
          <w:sz w:val="36"/>
          <w:szCs w:val="36"/>
        </w:rPr>
      </w:pPr>
    </w:p>
    <w:p>
      <w:pPr>
        <w:pStyle w:val="2"/>
        <w:rPr>
          <w:rFonts w:ascii="Times New Roman" w:hAnsi="Times New Roman"/>
          <w:color w:val="auto"/>
        </w:rPr>
      </w:pPr>
    </w:p>
    <w:p>
      <w:pPr>
        <w:adjustRightInd w:val="0"/>
        <w:snapToGrid w:val="0"/>
        <w:spacing w:line="288" w:lineRule="auto"/>
        <w:ind w:firstLine="1040"/>
        <w:rPr>
          <w:color w:val="auto"/>
          <w:sz w:val="36"/>
          <w:szCs w:val="36"/>
        </w:rPr>
      </w:pPr>
    </w:p>
    <w:bookmarkEnd w:id="0"/>
    <w:p>
      <w:pPr>
        <w:adjustRightInd w:val="0"/>
        <w:snapToGrid w:val="0"/>
        <w:spacing w:line="288" w:lineRule="auto"/>
        <w:jc w:val="center"/>
        <w:rPr>
          <w:color w:val="auto"/>
          <w:sz w:val="36"/>
          <w:szCs w:val="36"/>
        </w:rPr>
      </w:pPr>
      <w:r>
        <w:rPr>
          <w:color w:val="auto"/>
          <w:sz w:val="36"/>
          <w:szCs w:val="36"/>
        </w:rPr>
        <w:t>中华人民共和国生态环境部制</w:t>
      </w:r>
    </w:p>
    <w:p>
      <w:pPr>
        <w:adjustRightInd w:val="0"/>
        <w:snapToGrid w:val="0"/>
        <w:spacing w:line="288" w:lineRule="auto"/>
        <w:ind w:firstLine="1040"/>
        <w:rPr>
          <w:color w:val="auto"/>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16"/>
        <w:adjustRightInd w:val="0"/>
        <w:snapToGrid w:val="0"/>
        <w:spacing w:beforeLines="50" w:beforeAutospacing="0" w:afterLines="50" w:afterAutospacing="0"/>
        <w:ind w:firstLine="600" w:firstLineChars="200"/>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一、建设项目基本情况</w:t>
      </w:r>
    </w:p>
    <w:tbl>
      <w:tblPr>
        <w:tblStyle w:val="19"/>
        <w:tblW w:w="91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745"/>
        <w:gridCol w:w="2106"/>
        <w:gridCol w:w="1911"/>
        <w:gridCol w:w="33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5"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建设项目名称</w:t>
            </w:r>
          </w:p>
        </w:tc>
        <w:tc>
          <w:tcPr>
            <w:tcW w:w="7403" w:type="dxa"/>
            <w:gridSpan w:val="3"/>
            <w:noWrap/>
            <w:vAlign w:val="center"/>
          </w:tcPr>
          <w:p>
            <w:pPr>
              <w:adjustRightInd w:val="0"/>
              <w:snapToGrid w:val="0"/>
              <w:jc w:val="center"/>
              <w:rPr>
                <w:color w:val="auto"/>
                <w:sz w:val="24"/>
              </w:rPr>
            </w:pPr>
            <w:r>
              <w:rPr>
                <w:rFonts w:hint="eastAsia"/>
                <w:color w:val="auto"/>
                <w:sz w:val="24"/>
              </w:rPr>
              <w:t>新建自用危险化学品专用仓库项目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8"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项目代码</w:t>
            </w:r>
          </w:p>
        </w:tc>
        <w:tc>
          <w:tcPr>
            <w:tcW w:w="7403" w:type="dxa"/>
            <w:gridSpan w:val="3"/>
            <w:noWrap/>
            <w:vAlign w:val="center"/>
          </w:tcPr>
          <w:p>
            <w:pPr>
              <w:adjustRightInd w:val="0"/>
              <w:snapToGrid w:val="0"/>
              <w:jc w:val="center"/>
              <w:rPr>
                <w:color w:val="auto"/>
                <w:sz w:val="24"/>
              </w:rPr>
            </w:pPr>
            <w:r>
              <w:rPr>
                <w:color w:val="auto"/>
                <w:sz w:val="24"/>
              </w:rPr>
              <w:t>2310-320572-89-01-937631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建设单位联系人</w:t>
            </w:r>
          </w:p>
        </w:tc>
        <w:tc>
          <w:tcPr>
            <w:tcW w:w="2106" w:type="dxa"/>
            <w:noWrap/>
            <w:vAlign w:val="center"/>
          </w:tcPr>
          <w:p>
            <w:pPr>
              <w:adjustRightInd w:val="0"/>
              <w:snapToGrid w:val="0"/>
              <w:jc w:val="center"/>
              <w:rPr>
                <w:rFonts w:hint="default" w:eastAsia="宋体"/>
                <w:color w:val="auto"/>
                <w:sz w:val="24"/>
                <w:lang w:val="en-US" w:eastAsia="zh-CN"/>
              </w:rPr>
            </w:pPr>
            <w:r>
              <w:rPr>
                <w:rFonts w:hint="eastAsia"/>
                <w:color w:val="auto"/>
                <w:sz w:val="24"/>
                <w:lang w:val="en-US" w:eastAsia="zh-CN"/>
              </w:rPr>
              <w:t>***</w:t>
            </w:r>
          </w:p>
        </w:tc>
        <w:tc>
          <w:tcPr>
            <w:tcW w:w="1911" w:type="dxa"/>
            <w:noWrap/>
            <w:vAlign w:val="center"/>
          </w:tcPr>
          <w:p>
            <w:pPr>
              <w:adjustRightInd w:val="0"/>
              <w:snapToGrid w:val="0"/>
              <w:jc w:val="center"/>
              <w:rPr>
                <w:color w:val="auto"/>
                <w:sz w:val="24"/>
              </w:rPr>
            </w:pPr>
            <w:r>
              <w:rPr>
                <w:color w:val="auto"/>
                <w:sz w:val="24"/>
              </w:rPr>
              <w:t>联系方式</w:t>
            </w:r>
          </w:p>
        </w:tc>
        <w:tc>
          <w:tcPr>
            <w:tcW w:w="3386" w:type="dxa"/>
            <w:noWrap/>
            <w:vAlign w:val="center"/>
          </w:tcPr>
          <w:p>
            <w:pPr>
              <w:adjustRightInd w:val="0"/>
              <w:snapToGrid w:val="0"/>
              <w:jc w:val="center"/>
              <w:rPr>
                <w:rFonts w:hint="default" w:eastAsia="宋体"/>
                <w:color w:val="auto"/>
                <w:sz w:val="24"/>
                <w:lang w:val="en-US" w:eastAsia="zh-CN"/>
              </w:rPr>
            </w:pPr>
            <w:r>
              <w:rPr>
                <w:color w:val="auto"/>
                <w:sz w:val="24"/>
              </w:rPr>
              <w:t>1516</w:t>
            </w:r>
            <w:r>
              <w:rPr>
                <w:rFonts w:hint="eastAsia"/>
                <w:color w:val="auto"/>
                <w:sz w:val="24"/>
                <w:lang w:val="en-US" w:eastAsia="zh-CN"/>
              </w:rPr>
              <w:t>*******</w:t>
            </w:r>
            <w:bookmarkStart w:id="3" w:name="_GoBack"/>
            <w:bookmarkEnd w:id="3"/>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建设地点</w:t>
            </w:r>
          </w:p>
        </w:tc>
        <w:tc>
          <w:tcPr>
            <w:tcW w:w="7403" w:type="dxa"/>
            <w:gridSpan w:val="3"/>
            <w:noWrap/>
            <w:vAlign w:val="center"/>
          </w:tcPr>
          <w:p>
            <w:pPr>
              <w:widowControl/>
              <w:jc w:val="center"/>
              <w:rPr>
                <w:color w:val="auto"/>
                <w:sz w:val="24"/>
              </w:rPr>
            </w:pPr>
            <w:r>
              <w:rPr>
                <w:color w:val="auto"/>
                <w:sz w:val="24"/>
              </w:rPr>
              <w:t>常熟市东南街道庐山路68号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地理坐标</w:t>
            </w:r>
          </w:p>
        </w:tc>
        <w:tc>
          <w:tcPr>
            <w:tcW w:w="7403" w:type="dxa"/>
            <w:gridSpan w:val="3"/>
            <w:noWrap/>
            <w:vAlign w:val="center"/>
          </w:tcPr>
          <w:p>
            <w:pPr>
              <w:jc w:val="center"/>
              <w:rPr>
                <w:color w:val="auto"/>
                <w:sz w:val="24"/>
              </w:rPr>
            </w:pPr>
            <w:r>
              <w:rPr>
                <w:color w:val="auto"/>
                <w:sz w:val="24"/>
              </w:rPr>
              <w:t>（</w:t>
            </w:r>
            <w:r>
              <w:rPr>
                <w:color w:val="auto"/>
                <w:sz w:val="24"/>
                <w:u w:val="single"/>
              </w:rPr>
              <w:t>120</w:t>
            </w:r>
            <w:r>
              <w:rPr>
                <w:color w:val="auto"/>
                <w:sz w:val="24"/>
              </w:rPr>
              <w:t>度</w:t>
            </w:r>
            <w:r>
              <w:rPr>
                <w:color w:val="auto"/>
                <w:sz w:val="24"/>
                <w:u w:val="single"/>
              </w:rPr>
              <w:t>48</w:t>
            </w:r>
            <w:r>
              <w:rPr>
                <w:color w:val="auto"/>
                <w:sz w:val="24"/>
              </w:rPr>
              <w:t>分</w:t>
            </w:r>
            <w:r>
              <w:rPr>
                <w:rFonts w:hint="eastAsia"/>
                <w:color w:val="auto"/>
                <w:sz w:val="24"/>
                <w:u w:val="single"/>
              </w:rPr>
              <w:t>40</w:t>
            </w:r>
            <w:r>
              <w:rPr>
                <w:color w:val="auto"/>
                <w:sz w:val="24"/>
                <w:u w:val="single"/>
              </w:rPr>
              <w:t>.</w:t>
            </w:r>
            <w:r>
              <w:rPr>
                <w:rFonts w:hint="eastAsia"/>
                <w:color w:val="auto"/>
                <w:sz w:val="24"/>
                <w:u w:val="single"/>
              </w:rPr>
              <w:t>659</w:t>
            </w:r>
            <w:r>
              <w:rPr>
                <w:color w:val="auto"/>
                <w:sz w:val="24"/>
              </w:rPr>
              <w:t>秒，</w:t>
            </w:r>
            <w:r>
              <w:rPr>
                <w:color w:val="auto"/>
                <w:sz w:val="24"/>
                <w:u w:val="single"/>
              </w:rPr>
              <w:t>31</w:t>
            </w:r>
            <w:r>
              <w:rPr>
                <w:color w:val="auto"/>
                <w:sz w:val="24"/>
              </w:rPr>
              <w:t>度</w:t>
            </w:r>
            <w:r>
              <w:rPr>
                <w:rFonts w:hint="eastAsia"/>
                <w:color w:val="auto"/>
                <w:sz w:val="24"/>
                <w:u w:val="single"/>
              </w:rPr>
              <w:t>35</w:t>
            </w:r>
            <w:r>
              <w:rPr>
                <w:color w:val="auto"/>
                <w:sz w:val="24"/>
              </w:rPr>
              <w:t>分</w:t>
            </w:r>
            <w:r>
              <w:rPr>
                <w:rFonts w:hint="eastAsia"/>
                <w:color w:val="auto"/>
                <w:sz w:val="24"/>
                <w:u w:val="single"/>
              </w:rPr>
              <w:t>16</w:t>
            </w:r>
            <w:r>
              <w:rPr>
                <w:color w:val="auto"/>
                <w:sz w:val="24"/>
                <w:u w:val="single"/>
              </w:rPr>
              <w:t>.</w:t>
            </w:r>
            <w:r>
              <w:rPr>
                <w:rFonts w:hint="eastAsia"/>
                <w:color w:val="auto"/>
                <w:sz w:val="24"/>
                <w:u w:val="single"/>
              </w:rPr>
              <w:t>701</w:t>
            </w:r>
            <w:r>
              <w:rPr>
                <w:color w:val="auto"/>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国民经济</w:t>
            </w:r>
          </w:p>
          <w:p>
            <w:pPr>
              <w:adjustRightInd w:val="0"/>
              <w:snapToGrid w:val="0"/>
              <w:jc w:val="center"/>
              <w:rPr>
                <w:color w:val="auto"/>
                <w:sz w:val="24"/>
              </w:rPr>
            </w:pPr>
            <w:r>
              <w:rPr>
                <w:color w:val="auto"/>
                <w:sz w:val="24"/>
              </w:rPr>
              <w:t>行业类别</w:t>
            </w:r>
          </w:p>
        </w:tc>
        <w:tc>
          <w:tcPr>
            <w:tcW w:w="2106" w:type="dxa"/>
            <w:noWrap/>
            <w:vAlign w:val="center"/>
          </w:tcPr>
          <w:p>
            <w:pPr>
              <w:adjustRightInd w:val="0"/>
              <w:snapToGrid w:val="0"/>
              <w:jc w:val="center"/>
              <w:rPr>
                <w:color w:val="auto"/>
                <w:sz w:val="24"/>
              </w:rPr>
            </w:pPr>
            <w:r>
              <w:rPr>
                <w:color w:val="auto"/>
                <w:sz w:val="24"/>
              </w:rPr>
              <w:t>G594</w:t>
            </w:r>
            <w:r>
              <w:rPr>
                <w:rFonts w:hint="eastAsia"/>
                <w:color w:val="auto"/>
                <w:sz w:val="24"/>
              </w:rPr>
              <w:t>2</w:t>
            </w:r>
            <w:r>
              <w:rPr>
                <w:rFonts w:ascii="宋体" w:hAnsi="宋体" w:cs="宋体"/>
                <w:color w:val="auto"/>
                <w:sz w:val="24"/>
              </w:rPr>
              <w:t>危险化学品仓储</w:t>
            </w:r>
          </w:p>
        </w:tc>
        <w:tc>
          <w:tcPr>
            <w:tcW w:w="1911" w:type="dxa"/>
            <w:noWrap/>
            <w:vAlign w:val="center"/>
          </w:tcPr>
          <w:p>
            <w:pPr>
              <w:adjustRightInd w:val="0"/>
              <w:snapToGrid w:val="0"/>
              <w:jc w:val="center"/>
              <w:rPr>
                <w:color w:val="auto"/>
                <w:sz w:val="24"/>
              </w:rPr>
            </w:pPr>
            <w:bookmarkStart w:id="1" w:name="_Hlk49843745"/>
            <w:r>
              <w:rPr>
                <w:color w:val="auto"/>
                <w:sz w:val="24"/>
              </w:rPr>
              <w:t>建设项目</w:t>
            </w:r>
          </w:p>
          <w:p>
            <w:pPr>
              <w:adjustRightInd w:val="0"/>
              <w:snapToGrid w:val="0"/>
              <w:jc w:val="center"/>
              <w:rPr>
                <w:color w:val="auto"/>
                <w:sz w:val="24"/>
              </w:rPr>
            </w:pPr>
            <w:r>
              <w:rPr>
                <w:color w:val="auto"/>
                <w:sz w:val="24"/>
              </w:rPr>
              <w:t>行业类别</w:t>
            </w:r>
            <w:bookmarkEnd w:id="1"/>
          </w:p>
        </w:tc>
        <w:tc>
          <w:tcPr>
            <w:tcW w:w="3386" w:type="dxa"/>
            <w:noWrap/>
            <w:vAlign w:val="center"/>
          </w:tcPr>
          <w:p>
            <w:pPr>
              <w:adjustRightInd w:val="0"/>
              <w:snapToGrid w:val="0"/>
              <w:jc w:val="center"/>
              <w:rPr>
                <w:color w:val="auto"/>
                <w:sz w:val="24"/>
              </w:rPr>
            </w:pPr>
            <w:r>
              <w:rPr>
                <w:color w:val="auto"/>
                <w:sz w:val="24"/>
              </w:rPr>
              <w:t>五十三、装卸搬运和仓储业59，149危险品仓储594（不含加油站的油库；不含加气站的气库）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建设性质</w:t>
            </w:r>
          </w:p>
        </w:tc>
        <w:tc>
          <w:tcPr>
            <w:tcW w:w="2106" w:type="dxa"/>
            <w:noWrap/>
            <w:vAlign w:val="center"/>
          </w:tcPr>
          <w:p>
            <w:pPr>
              <w:adjustRightInd w:val="0"/>
              <w:snapToGrid w:val="0"/>
              <w:ind w:left="105" w:leftChars="50"/>
              <w:jc w:val="left"/>
              <w:rPr>
                <w:color w:val="auto"/>
                <w:sz w:val="24"/>
              </w:rPr>
            </w:pPr>
            <w:r>
              <w:rPr>
                <w:color w:val="auto"/>
                <w:sz w:val="24"/>
              </w:rPr>
              <w:sym w:font="Wingdings 2" w:char="00A3"/>
            </w:r>
            <w:r>
              <w:rPr>
                <w:color w:val="auto"/>
                <w:sz w:val="24"/>
              </w:rPr>
              <w:t>新建（迁建）</w:t>
            </w:r>
          </w:p>
          <w:p>
            <w:pPr>
              <w:adjustRightInd w:val="0"/>
              <w:snapToGrid w:val="0"/>
              <w:ind w:left="105" w:leftChars="50"/>
              <w:jc w:val="left"/>
              <w:rPr>
                <w:color w:val="auto"/>
                <w:sz w:val="24"/>
              </w:rPr>
            </w:pPr>
            <w:r>
              <w:rPr>
                <w:color w:val="auto"/>
                <w:sz w:val="24"/>
              </w:rPr>
              <w:sym w:font="Wingdings 2" w:char="00A3"/>
            </w:r>
            <w:r>
              <w:rPr>
                <w:color w:val="auto"/>
                <w:sz w:val="24"/>
              </w:rPr>
              <w:t>改建</w:t>
            </w:r>
          </w:p>
          <w:p>
            <w:pPr>
              <w:adjustRightInd w:val="0"/>
              <w:snapToGrid w:val="0"/>
              <w:ind w:left="105" w:leftChars="50"/>
              <w:jc w:val="left"/>
              <w:rPr>
                <w:color w:val="auto"/>
                <w:sz w:val="24"/>
              </w:rPr>
            </w:pPr>
            <w:r>
              <w:rPr>
                <w:color w:val="auto"/>
                <w:sz w:val="24"/>
              </w:rPr>
              <w:sym w:font="Wingdings 2" w:char="0052"/>
            </w:r>
            <w:r>
              <w:rPr>
                <w:color w:val="auto"/>
                <w:sz w:val="24"/>
              </w:rPr>
              <w:t>扩建</w:t>
            </w:r>
          </w:p>
          <w:p>
            <w:pPr>
              <w:adjustRightInd w:val="0"/>
              <w:snapToGrid w:val="0"/>
              <w:ind w:left="105" w:leftChars="50"/>
              <w:jc w:val="left"/>
              <w:rPr>
                <w:color w:val="auto"/>
                <w:sz w:val="24"/>
              </w:rPr>
            </w:pPr>
            <w:r>
              <w:rPr>
                <w:color w:val="auto"/>
                <w:sz w:val="24"/>
              </w:rPr>
              <w:sym w:font="Wingdings 2" w:char="00A3"/>
            </w:r>
            <w:r>
              <w:rPr>
                <w:color w:val="auto"/>
                <w:sz w:val="24"/>
              </w:rPr>
              <w:t>技术改造</w:t>
            </w:r>
          </w:p>
        </w:tc>
        <w:tc>
          <w:tcPr>
            <w:tcW w:w="1911" w:type="dxa"/>
            <w:noWrap/>
            <w:vAlign w:val="center"/>
          </w:tcPr>
          <w:p>
            <w:pPr>
              <w:adjustRightInd w:val="0"/>
              <w:snapToGrid w:val="0"/>
              <w:jc w:val="center"/>
              <w:rPr>
                <w:color w:val="auto"/>
                <w:sz w:val="24"/>
              </w:rPr>
            </w:pPr>
            <w:r>
              <w:rPr>
                <w:color w:val="auto"/>
                <w:sz w:val="24"/>
              </w:rPr>
              <w:t>建设项目</w:t>
            </w:r>
          </w:p>
          <w:p>
            <w:pPr>
              <w:adjustRightInd w:val="0"/>
              <w:snapToGrid w:val="0"/>
              <w:jc w:val="center"/>
              <w:rPr>
                <w:color w:val="auto"/>
                <w:sz w:val="24"/>
              </w:rPr>
            </w:pPr>
            <w:r>
              <w:rPr>
                <w:color w:val="auto"/>
                <w:sz w:val="24"/>
              </w:rPr>
              <w:t>申报情形</w:t>
            </w:r>
          </w:p>
        </w:tc>
        <w:tc>
          <w:tcPr>
            <w:tcW w:w="3386" w:type="dxa"/>
            <w:noWrap/>
            <w:vAlign w:val="center"/>
          </w:tcPr>
          <w:p>
            <w:pPr>
              <w:adjustRightInd w:val="0"/>
              <w:snapToGrid w:val="0"/>
              <w:ind w:left="105" w:leftChars="50"/>
              <w:jc w:val="left"/>
              <w:rPr>
                <w:color w:val="auto"/>
                <w:sz w:val="24"/>
              </w:rPr>
            </w:pPr>
            <w:r>
              <w:rPr>
                <w:color w:val="auto"/>
                <w:sz w:val="24"/>
              </w:rPr>
              <w:sym w:font="Wingdings 2" w:char="0052"/>
            </w:r>
            <w:r>
              <w:rPr>
                <w:color w:val="auto"/>
                <w:sz w:val="24"/>
              </w:rPr>
              <w:t>首次申报项目</w:t>
            </w:r>
          </w:p>
          <w:p>
            <w:pPr>
              <w:adjustRightInd w:val="0"/>
              <w:snapToGrid w:val="0"/>
              <w:ind w:left="105" w:leftChars="50"/>
              <w:jc w:val="left"/>
              <w:rPr>
                <w:color w:val="auto"/>
                <w:sz w:val="24"/>
              </w:rPr>
            </w:pPr>
            <w:r>
              <w:rPr>
                <w:color w:val="auto"/>
                <w:sz w:val="24"/>
              </w:rPr>
              <w:sym w:font="Wingdings 2" w:char="00A3"/>
            </w:r>
            <w:r>
              <w:rPr>
                <w:color w:val="auto"/>
                <w:sz w:val="24"/>
              </w:rPr>
              <w:t>不予批准后再次申报项目</w:t>
            </w:r>
          </w:p>
          <w:p>
            <w:pPr>
              <w:adjustRightInd w:val="0"/>
              <w:snapToGrid w:val="0"/>
              <w:ind w:left="105" w:leftChars="50"/>
              <w:jc w:val="left"/>
              <w:rPr>
                <w:color w:val="auto"/>
                <w:sz w:val="24"/>
              </w:rPr>
            </w:pPr>
            <w:r>
              <w:rPr>
                <w:color w:val="auto"/>
                <w:sz w:val="24"/>
              </w:rPr>
              <w:sym w:font="Wingdings 2" w:char="00A3"/>
            </w:r>
            <w:r>
              <w:rPr>
                <w:color w:val="auto"/>
                <w:sz w:val="24"/>
              </w:rPr>
              <w:t>超五年重新审核项目</w:t>
            </w:r>
          </w:p>
          <w:p>
            <w:pPr>
              <w:adjustRightInd w:val="0"/>
              <w:snapToGrid w:val="0"/>
              <w:ind w:left="105" w:leftChars="50"/>
              <w:jc w:val="left"/>
              <w:rPr>
                <w:color w:val="auto"/>
                <w:sz w:val="24"/>
              </w:rPr>
            </w:pPr>
            <w:r>
              <w:rPr>
                <w:color w:val="auto"/>
                <w:sz w:val="24"/>
              </w:rPr>
              <w:sym w:font="Wingdings 2" w:char="00A3"/>
            </w:r>
            <w:r>
              <w:rPr>
                <w:color w:val="auto"/>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项目审批（核准/</w:t>
            </w:r>
          </w:p>
          <w:p>
            <w:pPr>
              <w:adjustRightInd w:val="0"/>
              <w:snapToGrid w:val="0"/>
              <w:jc w:val="center"/>
              <w:rPr>
                <w:color w:val="auto"/>
                <w:sz w:val="24"/>
              </w:rPr>
            </w:pPr>
            <w:r>
              <w:rPr>
                <w:color w:val="auto"/>
                <w:sz w:val="24"/>
              </w:rPr>
              <w:t>备案）部门（选填）</w:t>
            </w:r>
          </w:p>
        </w:tc>
        <w:tc>
          <w:tcPr>
            <w:tcW w:w="2106" w:type="dxa"/>
            <w:noWrap/>
            <w:vAlign w:val="center"/>
          </w:tcPr>
          <w:p>
            <w:pPr>
              <w:adjustRightInd w:val="0"/>
              <w:snapToGrid w:val="0"/>
              <w:jc w:val="center"/>
              <w:rPr>
                <w:color w:val="auto"/>
                <w:sz w:val="24"/>
              </w:rPr>
            </w:pPr>
            <w:r>
              <w:rPr>
                <w:rFonts w:hint="eastAsia"/>
                <w:color w:val="auto"/>
                <w:sz w:val="24"/>
              </w:rPr>
              <w:t>常熟高新技术产业开发区管理委员会</w:t>
            </w:r>
          </w:p>
        </w:tc>
        <w:tc>
          <w:tcPr>
            <w:tcW w:w="1911" w:type="dxa"/>
            <w:noWrap/>
            <w:vAlign w:val="center"/>
          </w:tcPr>
          <w:p>
            <w:pPr>
              <w:adjustRightInd w:val="0"/>
              <w:snapToGrid w:val="0"/>
              <w:jc w:val="center"/>
              <w:rPr>
                <w:color w:val="auto"/>
                <w:sz w:val="24"/>
              </w:rPr>
            </w:pPr>
            <w:r>
              <w:rPr>
                <w:color w:val="auto"/>
                <w:sz w:val="24"/>
              </w:rPr>
              <w:t>项目审批（核准/</w:t>
            </w:r>
          </w:p>
          <w:p>
            <w:pPr>
              <w:adjustRightInd w:val="0"/>
              <w:snapToGrid w:val="0"/>
              <w:jc w:val="center"/>
              <w:rPr>
                <w:color w:val="auto"/>
                <w:sz w:val="24"/>
              </w:rPr>
            </w:pPr>
            <w:r>
              <w:rPr>
                <w:color w:val="auto"/>
                <w:sz w:val="24"/>
              </w:rPr>
              <w:t>备案）文号（选填）</w:t>
            </w:r>
          </w:p>
        </w:tc>
        <w:tc>
          <w:tcPr>
            <w:tcW w:w="3386" w:type="dxa"/>
            <w:noWrap/>
            <w:vAlign w:val="center"/>
          </w:tcPr>
          <w:p>
            <w:pPr>
              <w:adjustRightInd w:val="0"/>
              <w:snapToGrid w:val="0"/>
              <w:jc w:val="center"/>
              <w:rPr>
                <w:color w:val="auto"/>
                <w:sz w:val="24"/>
              </w:rPr>
            </w:pPr>
            <w:r>
              <w:rPr>
                <w:color w:val="auto"/>
                <w:sz w:val="24"/>
              </w:rPr>
              <w:t>常高管投备〔2023〕228号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总投资（万元）</w:t>
            </w:r>
          </w:p>
        </w:tc>
        <w:tc>
          <w:tcPr>
            <w:tcW w:w="2106" w:type="dxa"/>
            <w:noWrap/>
            <w:vAlign w:val="center"/>
          </w:tcPr>
          <w:p>
            <w:pPr>
              <w:adjustRightInd w:val="0"/>
              <w:snapToGrid w:val="0"/>
              <w:jc w:val="center"/>
              <w:rPr>
                <w:color w:val="auto"/>
                <w:sz w:val="24"/>
              </w:rPr>
            </w:pPr>
            <w:r>
              <w:rPr>
                <w:rFonts w:hint="eastAsia"/>
                <w:color w:val="auto"/>
                <w:sz w:val="24"/>
              </w:rPr>
              <w:t>1</w:t>
            </w:r>
            <w:r>
              <w:rPr>
                <w:color w:val="auto"/>
                <w:sz w:val="24"/>
              </w:rPr>
              <w:t>00</w:t>
            </w:r>
          </w:p>
        </w:tc>
        <w:tc>
          <w:tcPr>
            <w:tcW w:w="1911" w:type="dxa"/>
            <w:noWrap/>
            <w:tcMar>
              <w:top w:w="16" w:type="dxa"/>
              <w:left w:w="16" w:type="dxa"/>
              <w:right w:w="16" w:type="dxa"/>
            </w:tcMar>
            <w:vAlign w:val="center"/>
          </w:tcPr>
          <w:p>
            <w:pPr>
              <w:adjustRightInd w:val="0"/>
              <w:snapToGrid w:val="0"/>
              <w:jc w:val="center"/>
              <w:rPr>
                <w:color w:val="auto"/>
                <w:sz w:val="24"/>
              </w:rPr>
            </w:pPr>
            <w:r>
              <w:rPr>
                <w:color w:val="auto"/>
                <w:sz w:val="24"/>
              </w:rPr>
              <w:t>环保投资（万元）</w:t>
            </w:r>
          </w:p>
        </w:tc>
        <w:tc>
          <w:tcPr>
            <w:tcW w:w="3386" w:type="dxa"/>
            <w:noWrap/>
            <w:vAlign w:val="center"/>
          </w:tcPr>
          <w:p>
            <w:pPr>
              <w:adjustRightInd w:val="0"/>
              <w:snapToGrid w:val="0"/>
              <w:jc w:val="center"/>
              <w:rPr>
                <w:color w:val="auto"/>
                <w:sz w:val="24"/>
              </w:rPr>
            </w:pPr>
            <w:r>
              <w:rPr>
                <w:rFonts w:hint="eastAsia"/>
                <w:color w:val="auto"/>
                <w:sz w:val="24"/>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环保投资占比（%）</w:t>
            </w:r>
          </w:p>
        </w:tc>
        <w:tc>
          <w:tcPr>
            <w:tcW w:w="2106" w:type="dxa"/>
            <w:noWrap/>
            <w:vAlign w:val="center"/>
          </w:tcPr>
          <w:p>
            <w:pPr>
              <w:adjustRightInd w:val="0"/>
              <w:snapToGrid w:val="0"/>
              <w:jc w:val="center"/>
              <w:rPr>
                <w:color w:val="auto"/>
                <w:sz w:val="24"/>
              </w:rPr>
            </w:pPr>
            <w:r>
              <w:rPr>
                <w:rFonts w:hint="eastAsia"/>
                <w:color w:val="auto"/>
                <w:sz w:val="24"/>
              </w:rPr>
              <w:t>5</w:t>
            </w:r>
          </w:p>
        </w:tc>
        <w:tc>
          <w:tcPr>
            <w:tcW w:w="1911" w:type="dxa"/>
            <w:noWrap/>
            <w:tcMar>
              <w:top w:w="16" w:type="dxa"/>
              <w:left w:w="16" w:type="dxa"/>
              <w:right w:w="16" w:type="dxa"/>
            </w:tcMar>
            <w:vAlign w:val="center"/>
          </w:tcPr>
          <w:p>
            <w:pPr>
              <w:adjustRightInd w:val="0"/>
              <w:snapToGrid w:val="0"/>
              <w:jc w:val="center"/>
              <w:rPr>
                <w:color w:val="auto"/>
                <w:sz w:val="24"/>
              </w:rPr>
            </w:pPr>
            <w:r>
              <w:rPr>
                <w:color w:val="auto"/>
                <w:sz w:val="24"/>
              </w:rPr>
              <w:t>施工工期</w:t>
            </w:r>
          </w:p>
        </w:tc>
        <w:tc>
          <w:tcPr>
            <w:tcW w:w="3386" w:type="dxa"/>
            <w:noWrap/>
            <w:vAlign w:val="center"/>
          </w:tcPr>
          <w:p>
            <w:pPr>
              <w:adjustRightInd w:val="0"/>
              <w:snapToGrid w:val="0"/>
              <w:jc w:val="center"/>
              <w:rPr>
                <w:color w:val="auto"/>
                <w:sz w:val="24"/>
              </w:rPr>
            </w:pPr>
            <w:r>
              <w:rPr>
                <w:rFonts w:hint="eastAsia"/>
                <w:color w:val="auto"/>
                <w:sz w:val="24"/>
              </w:rPr>
              <w:t>3</w:t>
            </w:r>
            <w:r>
              <w:rPr>
                <w:color w:val="auto"/>
                <w:sz w:val="24"/>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45" w:type="dxa"/>
            <w:noWrap/>
            <w:tcMar>
              <w:top w:w="16" w:type="dxa"/>
              <w:left w:w="16" w:type="dxa"/>
              <w:right w:w="16" w:type="dxa"/>
            </w:tcMar>
            <w:vAlign w:val="center"/>
          </w:tcPr>
          <w:p>
            <w:pPr>
              <w:adjustRightInd w:val="0"/>
              <w:snapToGrid w:val="0"/>
              <w:jc w:val="center"/>
              <w:rPr>
                <w:color w:val="auto"/>
                <w:sz w:val="24"/>
              </w:rPr>
            </w:pPr>
            <w:r>
              <w:rPr>
                <w:color w:val="auto"/>
                <w:sz w:val="24"/>
              </w:rPr>
              <w:t>是否开工建设</w:t>
            </w:r>
          </w:p>
        </w:tc>
        <w:tc>
          <w:tcPr>
            <w:tcW w:w="2106" w:type="dxa"/>
            <w:noWrap/>
            <w:vAlign w:val="center"/>
          </w:tcPr>
          <w:p>
            <w:pPr>
              <w:adjustRightInd w:val="0"/>
              <w:snapToGrid w:val="0"/>
              <w:ind w:left="105" w:leftChars="50"/>
              <w:rPr>
                <w:color w:val="auto"/>
                <w:sz w:val="24"/>
              </w:rPr>
            </w:pPr>
            <w:r>
              <w:rPr>
                <w:color w:val="auto"/>
                <w:sz w:val="24"/>
              </w:rPr>
              <w:sym w:font="Wingdings 2" w:char="0052"/>
            </w:r>
            <w:r>
              <w:rPr>
                <w:color w:val="auto"/>
                <w:sz w:val="24"/>
              </w:rPr>
              <w:t>否</w:t>
            </w:r>
          </w:p>
          <w:p>
            <w:pPr>
              <w:adjustRightInd w:val="0"/>
              <w:snapToGrid w:val="0"/>
              <w:ind w:left="105" w:leftChars="50"/>
              <w:rPr>
                <w:color w:val="auto"/>
                <w:sz w:val="24"/>
              </w:rPr>
            </w:pPr>
            <w:r>
              <w:rPr>
                <w:color w:val="auto"/>
                <w:sz w:val="24"/>
              </w:rPr>
              <w:sym w:font="Wingdings 2" w:char="00A3"/>
            </w:r>
            <w:r>
              <w:rPr>
                <w:color w:val="auto"/>
                <w:sz w:val="24"/>
              </w:rPr>
              <w:t>是：</w:t>
            </w:r>
          </w:p>
        </w:tc>
        <w:tc>
          <w:tcPr>
            <w:tcW w:w="1911" w:type="dxa"/>
            <w:noWrap/>
            <w:tcMar>
              <w:top w:w="16" w:type="dxa"/>
              <w:left w:w="16" w:type="dxa"/>
              <w:right w:w="16" w:type="dxa"/>
            </w:tcMar>
            <w:vAlign w:val="center"/>
          </w:tcPr>
          <w:p>
            <w:pPr>
              <w:adjustRightInd w:val="0"/>
              <w:snapToGrid w:val="0"/>
              <w:jc w:val="center"/>
              <w:rPr>
                <w:color w:val="auto"/>
                <w:spacing w:val="-6"/>
                <w:sz w:val="24"/>
              </w:rPr>
            </w:pPr>
            <w:r>
              <w:rPr>
                <w:color w:val="auto"/>
                <w:spacing w:val="-6"/>
                <w:sz w:val="24"/>
              </w:rPr>
              <w:t>用地（用海）</w:t>
            </w:r>
          </w:p>
          <w:p>
            <w:pPr>
              <w:adjustRightInd w:val="0"/>
              <w:snapToGrid w:val="0"/>
              <w:jc w:val="center"/>
              <w:rPr>
                <w:color w:val="auto"/>
                <w:sz w:val="24"/>
              </w:rPr>
            </w:pPr>
            <w:r>
              <w:rPr>
                <w:color w:val="auto"/>
                <w:spacing w:val="-6"/>
                <w:sz w:val="24"/>
              </w:rPr>
              <w:t>面积（m</w:t>
            </w:r>
            <w:r>
              <w:rPr>
                <w:color w:val="auto"/>
                <w:spacing w:val="-6"/>
                <w:sz w:val="24"/>
                <w:vertAlign w:val="superscript"/>
              </w:rPr>
              <w:t>2</w:t>
            </w:r>
            <w:r>
              <w:rPr>
                <w:color w:val="auto"/>
                <w:spacing w:val="-6"/>
                <w:sz w:val="24"/>
              </w:rPr>
              <w:t>）</w:t>
            </w:r>
          </w:p>
        </w:tc>
        <w:tc>
          <w:tcPr>
            <w:tcW w:w="3386" w:type="dxa"/>
            <w:noWrap/>
            <w:vAlign w:val="center"/>
          </w:tcPr>
          <w:p>
            <w:pPr>
              <w:adjustRightInd w:val="0"/>
              <w:snapToGrid w:val="0"/>
              <w:jc w:val="center"/>
              <w:rPr>
                <w:color w:val="auto"/>
                <w:sz w:val="24"/>
              </w:rPr>
            </w:pPr>
            <w:r>
              <w:rPr>
                <w:rFonts w:hint="eastAsia"/>
                <w:color w:val="auto"/>
                <w:sz w:val="24"/>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45" w:type="dxa"/>
            <w:noWrap/>
            <w:vAlign w:val="center"/>
          </w:tcPr>
          <w:p>
            <w:pPr>
              <w:autoSpaceDE w:val="0"/>
              <w:autoSpaceDN w:val="0"/>
              <w:adjustRightInd w:val="0"/>
              <w:snapToGrid w:val="0"/>
              <w:jc w:val="center"/>
              <w:rPr>
                <w:color w:val="auto"/>
                <w:kern w:val="0"/>
                <w:sz w:val="24"/>
              </w:rPr>
            </w:pPr>
            <w:r>
              <w:rPr>
                <w:color w:val="auto"/>
                <w:kern w:val="0"/>
                <w:sz w:val="24"/>
              </w:rPr>
              <w:t>专项评价设置情况</w:t>
            </w:r>
          </w:p>
        </w:tc>
        <w:tc>
          <w:tcPr>
            <w:tcW w:w="7403" w:type="dxa"/>
            <w:gridSpan w:val="3"/>
            <w:noWrap/>
            <w:vAlign w:val="center"/>
          </w:tcPr>
          <w:p>
            <w:pPr>
              <w:adjustRightInd w:val="0"/>
              <w:snapToGrid w:val="0"/>
              <w:spacing w:line="360" w:lineRule="auto"/>
              <w:jc w:val="center"/>
              <w:rPr>
                <w:color w:val="auto"/>
                <w:kern w:val="0"/>
                <w:sz w:val="24"/>
              </w:rPr>
            </w:pPr>
            <w:r>
              <w:rPr>
                <w:color w:val="auto"/>
                <w:sz w:val="24"/>
              </w:rPr>
              <w:t>对照《建设项目环境影响报告表编制技术指南（污染影响类）（试行）》中表1，本项目不需设置</w:t>
            </w:r>
            <w:r>
              <w:rPr>
                <w:rFonts w:hint="eastAsia"/>
                <w:color w:val="auto"/>
                <w:sz w:val="24"/>
              </w:rPr>
              <w:t>“</w:t>
            </w:r>
            <w:r>
              <w:rPr>
                <w:color w:val="auto"/>
                <w:sz w:val="24"/>
              </w:rPr>
              <w:t>专项评价</w:t>
            </w:r>
            <w:r>
              <w:rPr>
                <w:rFonts w:hint="eastAsia"/>
                <w:color w:val="auto"/>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745" w:type="dxa"/>
            <w:noWrap/>
            <w:vAlign w:val="center"/>
          </w:tcPr>
          <w:p>
            <w:pPr>
              <w:autoSpaceDE w:val="0"/>
              <w:autoSpaceDN w:val="0"/>
              <w:adjustRightInd w:val="0"/>
              <w:snapToGrid w:val="0"/>
              <w:jc w:val="center"/>
              <w:rPr>
                <w:color w:val="auto"/>
                <w:kern w:val="0"/>
                <w:sz w:val="24"/>
              </w:rPr>
            </w:pPr>
            <w:r>
              <w:rPr>
                <w:color w:val="auto"/>
                <w:sz w:val="24"/>
              </w:rPr>
              <w:t>规划情况</w:t>
            </w:r>
          </w:p>
        </w:tc>
        <w:tc>
          <w:tcPr>
            <w:tcW w:w="7403" w:type="dxa"/>
            <w:gridSpan w:val="3"/>
            <w:noWrap/>
            <w:vAlign w:val="center"/>
          </w:tcPr>
          <w:p>
            <w:pPr>
              <w:spacing w:line="264" w:lineRule="auto"/>
              <w:jc w:val="left"/>
              <w:rPr>
                <w:color w:val="auto"/>
                <w:kern w:val="0"/>
                <w:sz w:val="24"/>
              </w:rPr>
            </w:pPr>
            <w:r>
              <w:rPr>
                <w:color w:val="auto"/>
                <w:kern w:val="0"/>
                <w:sz w:val="24"/>
              </w:rPr>
              <w:t>常熟南部新城东部中片区控制性详细规划是《常熟高新技术产业开发区发展总体规划（2016-2030）》的一部分；</w:t>
            </w:r>
          </w:p>
          <w:p>
            <w:pPr>
              <w:spacing w:line="264" w:lineRule="auto"/>
              <w:jc w:val="left"/>
              <w:rPr>
                <w:color w:val="auto"/>
                <w:kern w:val="0"/>
                <w:sz w:val="24"/>
              </w:rPr>
            </w:pPr>
            <w:r>
              <w:rPr>
                <w:color w:val="auto"/>
                <w:kern w:val="0"/>
                <w:sz w:val="24"/>
              </w:rPr>
              <w:t>规划名称：《常熟南部新城局部片区控制性详细规划（2022年12月调整）》；</w:t>
            </w:r>
          </w:p>
          <w:p>
            <w:pPr>
              <w:spacing w:line="264" w:lineRule="auto"/>
              <w:jc w:val="left"/>
              <w:rPr>
                <w:color w:val="auto"/>
                <w:kern w:val="0"/>
                <w:sz w:val="24"/>
              </w:rPr>
            </w:pPr>
            <w:r>
              <w:rPr>
                <w:color w:val="auto"/>
                <w:kern w:val="0"/>
                <w:sz w:val="24"/>
              </w:rPr>
              <w:t>审批机关：常熟市人民政府；</w:t>
            </w:r>
          </w:p>
          <w:p>
            <w:pPr>
              <w:spacing w:line="264" w:lineRule="auto"/>
              <w:jc w:val="left"/>
              <w:rPr>
                <w:color w:val="auto"/>
              </w:rPr>
            </w:pPr>
            <w:r>
              <w:rPr>
                <w:color w:val="auto"/>
                <w:kern w:val="0"/>
                <w:sz w:val="24"/>
              </w:rPr>
              <w:t>审批文件名及文号：关于《常熟南部新城局部片区控制性详细规划（2022年12月调整）》的批复（常政复〔2023〕5号）。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45" w:type="dxa"/>
            <w:noWrap/>
            <w:vAlign w:val="center"/>
          </w:tcPr>
          <w:p>
            <w:pPr>
              <w:adjustRightInd w:val="0"/>
              <w:snapToGrid w:val="0"/>
              <w:jc w:val="center"/>
              <w:rPr>
                <w:color w:val="auto"/>
                <w:sz w:val="24"/>
              </w:rPr>
            </w:pPr>
            <w:r>
              <w:rPr>
                <w:color w:val="auto"/>
                <w:sz w:val="24"/>
              </w:rPr>
              <w:t>规划环境影响</w:t>
            </w:r>
          </w:p>
          <w:p>
            <w:pPr>
              <w:adjustRightInd w:val="0"/>
              <w:snapToGrid w:val="0"/>
              <w:jc w:val="center"/>
              <w:rPr>
                <w:color w:val="auto"/>
                <w:kern w:val="0"/>
                <w:sz w:val="24"/>
              </w:rPr>
            </w:pPr>
            <w:r>
              <w:rPr>
                <w:color w:val="auto"/>
                <w:sz w:val="24"/>
              </w:rPr>
              <w:t>评价情况</w:t>
            </w:r>
          </w:p>
        </w:tc>
        <w:tc>
          <w:tcPr>
            <w:tcW w:w="7403" w:type="dxa"/>
            <w:gridSpan w:val="3"/>
            <w:noWrap/>
            <w:vAlign w:val="center"/>
          </w:tcPr>
          <w:p>
            <w:pPr>
              <w:widowControl/>
              <w:spacing w:line="264" w:lineRule="auto"/>
              <w:jc w:val="left"/>
              <w:rPr>
                <w:color w:val="auto"/>
              </w:rPr>
            </w:pPr>
            <w:r>
              <w:rPr>
                <w:color w:val="auto"/>
                <w:kern w:val="0"/>
                <w:sz w:val="24"/>
              </w:rPr>
              <w:t>规划环境影响评价文件名称：《常熟高新技术产业开发区发展总体规划（2016-2030）环境影响报告书》；</w:t>
            </w:r>
          </w:p>
          <w:p>
            <w:pPr>
              <w:widowControl/>
              <w:spacing w:line="264" w:lineRule="auto"/>
              <w:jc w:val="left"/>
              <w:rPr>
                <w:color w:val="auto"/>
              </w:rPr>
            </w:pPr>
            <w:r>
              <w:rPr>
                <w:color w:val="auto"/>
                <w:kern w:val="0"/>
                <w:sz w:val="24"/>
              </w:rPr>
              <w:t>审查机关：</w:t>
            </w:r>
            <w:r>
              <w:rPr>
                <w:rFonts w:hint="eastAsia"/>
                <w:color w:val="auto"/>
                <w:kern w:val="0"/>
                <w:sz w:val="24"/>
              </w:rPr>
              <w:t>江苏省环境保护厅</w:t>
            </w:r>
            <w:r>
              <w:rPr>
                <w:color w:val="auto"/>
                <w:kern w:val="0"/>
                <w:sz w:val="24"/>
              </w:rPr>
              <w:t>；</w:t>
            </w:r>
          </w:p>
          <w:p>
            <w:pPr>
              <w:widowControl/>
              <w:spacing w:line="264" w:lineRule="auto"/>
              <w:jc w:val="left"/>
              <w:rPr>
                <w:color w:val="auto"/>
                <w:kern w:val="0"/>
                <w:sz w:val="24"/>
              </w:rPr>
            </w:pPr>
            <w:r>
              <w:rPr>
                <w:color w:val="auto"/>
                <w:kern w:val="0"/>
                <w:sz w:val="24"/>
              </w:rPr>
              <w:t>审查文件名称及文号：关于《常熟高新技术产业开发区发展总体规划（2016-2030）环境影响报告书》的审查意见文号：环审（2021）6号。</w:t>
            </w:r>
          </w:p>
        </w:tc>
      </w:tr>
    </w:tbl>
    <w:p>
      <w:pPr>
        <w:autoSpaceDE w:val="0"/>
        <w:autoSpaceDN w:val="0"/>
        <w:adjustRightInd w:val="0"/>
        <w:snapToGrid w:val="0"/>
        <w:spacing w:line="360" w:lineRule="auto"/>
        <w:jc w:val="center"/>
        <w:rPr>
          <w:color w:val="auto"/>
          <w:kern w:val="0"/>
          <w:sz w:val="24"/>
        </w:rPr>
        <w:sectPr>
          <w:footerReference r:id="rId5" w:type="default"/>
          <w:pgSz w:w="11906" w:h="16838"/>
          <w:pgMar w:top="1701" w:right="1531" w:bottom="1701" w:left="1531" w:header="851" w:footer="851" w:gutter="0"/>
          <w:cols w:space="720" w:num="1"/>
          <w:docGrid w:linePitch="312" w:charSpace="0"/>
        </w:sectPr>
      </w:pPr>
    </w:p>
    <w:tbl>
      <w:tblPr>
        <w:tblStyle w:val="19"/>
        <w:tblW w:w="91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86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99" w:type="dxa"/>
            <w:noWrap/>
            <w:vAlign w:val="center"/>
          </w:tcPr>
          <w:p>
            <w:pPr>
              <w:autoSpaceDE w:val="0"/>
              <w:autoSpaceDN w:val="0"/>
              <w:adjustRightInd w:val="0"/>
              <w:snapToGrid w:val="0"/>
              <w:spacing w:line="360" w:lineRule="auto"/>
              <w:jc w:val="center"/>
              <w:rPr>
                <w:color w:val="auto"/>
                <w:sz w:val="24"/>
              </w:rPr>
            </w:pPr>
            <w:r>
              <w:rPr>
                <w:color w:val="auto"/>
                <w:kern w:val="0"/>
                <w:sz w:val="24"/>
              </w:rPr>
              <w:t>规划及规划环境影响评价符合性分析</w:t>
            </w:r>
          </w:p>
        </w:tc>
        <w:tc>
          <w:tcPr>
            <w:tcW w:w="8549" w:type="dxa"/>
            <w:noWrap/>
            <w:vAlign w:val="center"/>
          </w:tcPr>
          <w:p>
            <w:pPr>
              <w:widowControl/>
              <w:spacing w:beforeLines="50" w:line="360" w:lineRule="auto"/>
              <w:jc w:val="left"/>
              <w:rPr>
                <w:color w:val="auto"/>
              </w:rPr>
            </w:pPr>
            <w:r>
              <w:rPr>
                <w:b/>
                <w:bCs/>
                <w:color w:val="auto"/>
                <w:sz w:val="24"/>
              </w:rPr>
              <w:t>1、与</w:t>
            </w:r>
            <w:r>
              <w:rPr>
                <w:b/>
                <w:bCs/>
                <w:color w:val="auto"/>
                <w:kern w:val="0"/>
                <w:sz w:val="24"/>
              </w:rPr>
              <w:t>《常熟高新技术产业开发区发展总体规划（2016-2030）》规划相符性分析</w:t>
            </w:r>
          </w:p>
          <w:p>
            <w:pPr>
              <w:widowControl/>
              <w:spacing w:line="360" w:lineRule="auto"/>
              <w:ind w:firstLine="480" w:firstLineChars="200"/>
              <w:jc w:val="left"/>
              <w:rPr>
                <w:color w:val="auto"/>
                <w:kern w:val="0"/>
                <w:sz w:val="24"/>
              </w:rPr>
            </w:pPr>
            <w:r>
              <w:rPr>
                <w:color w:val="auto"/>
                <w:kern w:val="0"/>
                <w:sz w:val="24"/>
              </w:rPr>
              <w:t>（1）规划范围常熟高新技术产业开发区规划范围：北至三环路、富春江路、白茆塘，东至四环路，南至锡太一级公路、昆承湖东南岸、金象路、久隆路，西至苏常公路，面积为77.48km</w:t>
            </w:r>
            <w:r>
              <w:rPr>
                <w:color w:val="auto"/>
                <w:kern w:val="0"/>
                <w:sz w:val="24"/>
                <w:vertAlign w:val="superscript"/>
              </w:rPr>
              <w:t>2</w:t>
            </w:r>
            <w:r>
              <w:rPr>
                <w:color w:val="auto"/>
                <w:kern w:val="0"/>
                <w:sz w:val="24"/>
              </w:rPr>
              <w:t>。</w:t>
            </w:r>
          </w:p>
          <w:p>
            <w:pPr>
              <w:widowControl/>
              <w:spacing w:line="360" w:lineRule="auto"/>
              <w:ind w:firstLine="480" w:firstLineChars="200"/>
              <w:jc w:val="left"/>
              <w:rPr>
                <w:color w:val="auto"/>
                <w:kern w:val="0"/>
                <w:sz w:val="24"/>
              </w:rPr>
            </w:pPr>
            <w:r>
              <w:rPr>
                <w:color w:val="auto"/>
                <w:kern w:val="0"/>
                <w:sz w:val="24"/>
              </w:rPr>
              <w:t>（2）功能定位以汽车零部件、装备制造、电子信息为主导的南部新城重要产业功能区，兼有生产服务、生活配套功能。</w:t>
            </w:r>
          </w:p>
          <w:p>
            <w:pPr>
              <w:widowControl/>
              <w:spacing w:line="360" w:lineRule="auto"/>
              <w:ind w:firstLine="480" w:firstLineChars="200"/>
              <w:jc w:val="left"/>
              <w:rPr>
                <w:color w:val="auto"/>
                <w:kern w:val="0"/>
                <w:sz w:val="24"/>
              </w:rPr>
            </w:pPr>
            <w:r>
              <w:rPr>
                <w:color w:val="auto"/>
                <w:kern w:val="0"/>
                <w:sz w:val="24"/>
              </w:rPr>
              <w:t>（3）规划结构规划区在功能布局、服务体系、绿地系统方面形成如下布局结构：</w:t>
            </w:r>
          </w:p>
          <w:p>
            <w:pPr>
              <w:widowControl/>
              <w:spacing w:line="360" w:lineRule="auto"/>
              <w:ind w:firstLine="480" w:firstLineChars="200"/>
              <w:jc w:val="left"/>
              <w:rPr>
                <w:color w:val="auto"/>
                <w:kern w:val="0"/>
                <w:sz w:val="24"/>
              </w:rPr>
            </w:pPr>
            <w:r>
              <w:rPr>
                <w:color w:val="auto"/>
                <w:kern w:val="0"/>
                <w:sz w:val="24"/>
              </w:rPr>
              <w:t>1）功能布局：一区两片</w:t>
            </w:r>
          </w:p>
          <w:p>
            <w:pPr>
              <w:widowControl/>
              <w:spacing w:line="360" w:lineRule="auto"/>
              <w:ind w:firstLine="480" w:firstLineChars="200"/>
              <w:jc w:val="left"/>
              <w:rPr>
                <w:color w:val="auto"/>
                <w:kern w:val="0"/>
                <w:sz w:val="24"/>
              </w:rPr>
            </w:pPr>
            <w:r>
              <w:rPr>
                <w:color w:val="auto"/>
                <w:kern w:val="0"/>
                <w:sz w:val="24"/>
              </w:rPr>
              <w:t>①一区：区内工业用地与东侧的工业区整体形成高新区以汽车零部件、装备制造、电子信息为主导的产业功能区。</w:t>
            </w:r>
          </w:p>
          <w:p>
            <w:pPr>
              <w:widowControl/>
              <w:spacing w:line="360" w:lineRule="auto"/>
              <w:ind w:firstLine="480" w:firstLineChars="200"/>
              <w:jc w:val="left"/>
              <w:rPr>
                <w:color w:val="auto"/>
                <w:kern w:val="0"/>
                <w:sz w:val="24"/>
              </w:rPr>
            </w:pPr>
            <w:r>
              <w:rPr>
                <w:color w:val="auto"/>
                <w:kern w:val="0"/>
                <w:sz w:val="24"/>
              </w:rPr>
              <w:t>②两片：规划区内白茆塘沿线和苏家滃沿线形成两片生活居住区，与黄山路以西的生活居住紧密相连。</w:t>
            </w:r>
          </w:p>
          <w:p>
            <w:pPr>
              <w:widowControl/>
              <w:spacing w:line="360" w:lineRule="auto"/>
              <w:ind w:firstLine="480" w:firstLineChars="200"/>
              <w:jc w:val="left"/>
              <w:rPr>
                <w:color w:val="auto"/>
                <w:kern w:val="0"/>
                <w:sz w:val="24"/>
              </w:rPr>
            </w:pPr>
            <w:r>
              <w:rPr>
                <w:color w:val="auto"/>
                <w:kern w:val="0"/>
                <w:sz w:val="24"/>
              </w:rPr>
              <w:t>2）服务体系：一心七点</w:t>
            </w:r>
          </w:p>
          <w:p>
            <w:pPr>
              <w:widowControl/>
              <w:spacing w:line="360" w:lineRule="auto"/>
              <w:ind w:firstLine="480" w:firstLineChars="200"/>
              <w:jc w:val="left"/>
              <w:rPr>
                <w:color w:val="auto"/>
                <w:kern w:val="0"/>
                <w:sz w:val="24"/>
              </w:rPr>
            </w:pPr>
            <w:r>
              <w:rPr>
                <w:color w:val="auto"/>
                <w:kern w:val="0"/>
                <w:sz w:val="24"/>
              </w:rPr>
              <w:t>①一心：在白茆塘南、庐山路东形成片区级公共服务中心，重点服务白茆塘沿线的生活居住片区以及周边产业区块，满足居民和产业工人的生活服务需求。</w:t>
            </w:r>
          </w:p>
          <w:p>
            <w:pPr>
              <w:widowControl/>
              <w:spacing w:line="360" w:lineRule="auto"/>
              <w:ind w:firstLine="480" w:firstLineChars="200"/>
              <w:jc w:val="left"/>
              <w:rPr>
                <w:color w:val="auto"/>
                <w:kern w:val="0"/>
                <w:sz w:val="24"/>
              </w:rPr>
            </w:pPr>
            <w:r>
              <w:rPr>
                <w:color w:val="auto"/>
                <w:kern w:val="0"/>
                <w:sz w:val="24"/>
              </w:rPr>
              <w:t>②七点：包括一个商贸物流节点，三个社区服务节点，两个产业区服务节点，一个研发节点；商贸物流节点布置于富春江路与黄山路交汇区域，结合现状市场基础重点发展商业商务、商贸流通等功能。社区服务节点分别在小康、新安、金狮三个居住社区进行配置；两个产业区服务节点分别位于金龙湖周边、银河路中间区段，以产业工人集宿、生活服务配套等功能为主；一个研发节点位于东南大道北、庐山路东，为现状保留的产业创新中心。</w:t>
            </w:r>
          </w:p>
          <w:p>
            <w:pPr>
              <w:widowControl/>
              <w:numPr>
                <w:ilvl w:val="0"/>
                <w:numId w:val="1"/>
              </w:numPr>
              <w:spacing w:line="360" w:lineRule="auto"/>
              <w:ind w:firstLine="480" w:firstLineChars="200"/>
              <w:jc w:val="left"/>
              <w:rPr>
                <w:color w:val="auto"/>
                <w:kern w:val="0"/>
                <w:sz w:val="24"/>
              </w:rPr>
            </w:pPr>
            <w:r>
              <w:rPr>
                <w:color w:val="auto"/>
                <w:kern w:val="0"/>
                <w:sz w:val="24"/>
              </w:rPr>
              <w:t>绿地系统：两园多廊</w:t>
            </w:r>
          </w:p>
          <w:p>
            <w:pPr>
              <w:widowControl/>
              <w:spacing w:line="360" w:lineRule="auto"/>
              <w:ind w:firstLine="480" w:firstLineChars="200"/>
              <w:jc w:val="left"/>
              <w:rPr>
                <w:color w:val="auto"/>
                <w:kern w:val="0"/>
                <w:sz w:val="24"/>
              </w:rPr>
            </w:pPr>
            <w:r>
              <w:rPr>
                <w:color w:val="auto"/>
                <w:kern w:val="0"/>
                <w:sz w:val="24"/>
              </w:rPr>
              <w:t>①两园：市级金龙湖公园和片区级白茆塘公园，两大公园依托水系进行组织，形成白茆塘沿线、大滃沿线重要的开放空间。</w:t>
            </w:r>
          </w:p>
          <w:p>
            <w:pPr>
              <w:widowControl/>
              <w:spacing w:line="360" w:lineRule="auto"/>
              <w:ind w:firstLine="480" w:firstLineChars="200"/>
              <w:jc w:val="left"/>
              <w:rPr>
                <w:color w:val="auto"/>
                <w:kern w:val="0"/>
                <w:sz w:val="24"/>
              </w:rPr>
            </w:pPr>
            <w:r>
              <w:rPr>
                <w:color w:val="auto"/>
                <w:kern w:val="0"/>
                <w:sz w:val="24"/>
              </w:rPr>
              <w:t>②多廊：规划重点依托河网水系及两侧滨水绿带，构筑相互连通的生态绿廊，形成生活休闲、康体健身的绿色通道。</w:t>
            </w:r>
          </w:p>
          <w:p>
            <w:pPr>
              <w:widowControl/>
              <w:spacing w:line="360" w:lineRule="auto"/>
              <w:ind w:firstLine="480" w:firstLineChars="200"/>
              <w:jc w:val="left"/>
              <w:rPr>
                <w:color w:val="auto"/>
                <w:kern w:val="0"/>
                <w:sz w:val="24"/>
              </w:rPr>
            </w:pPr>
            <w:r>
              <w:rPr>
                <w:color w:val="auto"/>
                <w:kern w:val="0"/>
                <w:sz w:val="24"/>
              </w:rPr>
              <w:t>（4）基础设施规划及现状</w:t>
            </w:r>
          </w:p>
          <w:p>
            <w:pPr>
              <w:widowControl/>
              <w:spacing w:line="360" w:lineRule="auto"/>
              <w:ind w:firstLine="480" w:firstLineChars="200"/>
              <w:jc w:val="left"/>
              <w:rPr>
                <w:color w:val="auto"/>
                <w:kern w:val="0"/>
                <w:sz w:val="24"/>
              </w:rPr>
            </w:pPr>
            <w:r>
              <w:rPr>
                <w:color w:val="auto"/>
                <w:kern w:val="0"/>
                <w:sz w:val="24"/>
              </w:rPr>
              <w:t>开发区实行集中供热、供水、供电和统一污水处理。</w:t>
            </w:r>
          </w:p>
          <w:p>
            <w:pPr>
              <w:widowControl/>
              <w:numPr>
                <w:ilvl w:val="0"/>
                <w:numId w:val="2"/>
              </w:numPr>
              <w:spacing w:line="360" w:lineRule="auto"/>
              <w:ind w:firstLine="480" w:firstLineChars="200"/>
              <w:jc w:val="left"/>
              <w:rPr>
                <w:color w:val="auto"/>
                <w:kern w:val="0"/>
                <w:sz w:val="24"/>
              </w:rPr>
            </w:pPr>
            <w:r>
              <w:rPr>
                <w:color w:val="auto"/>
                <w:kern w:val="0"/>
                <w:sz w:val="24"/>
              </w:rPr>
              <w:t>集中供热</w:t>
            </w:r>
          </w:p>
          <w:p>
            <w:pPr>
              <w:widowControl/>
              <w:spacing w:line="360" w:lineRule="auto"/>
              <w:ind w:firstLine="480" w:firstLineChars="200"/>
              <w:jc w:val="left"/>
              <w:rPr>
                <w:color w:val="auto"/>
                <w:kern w:val="0"/>
                <w:sz w:val="24"/>
              </w:rPr>
            </w:pPr>
            <w:r>
              <w:rPr>
                <w:color w:val="auto"/>
                <w:kern w:val="0"/>
                <w:sz w:val="24"/>
              </w:rPr>
              <w:t>常熟高新技术产业开发区以中电常熟热电厂作为热源点。目前中电常熟热电厂已经建成。《中电常熟热电项目天然气管道专项规划》（2021年修订版）按照近、远期两个阶段，近期（2021~2025年）向中电常熟热电有限公司供气2.8×10</w:t>
            </w:r>
            <w:r>
              <w:rPr>
                <w:color w:val="auto"/>
                <w:kern w:val="0"/>
                <w:sz w:val="24"/>
                <w:vertAlign w:val="superscript"/>
              </w:rPr>
              <w:t>8</w:t>
            </w:r>
            <w:r>
              <w:rPr>
                <w:color w:val="auto"/>
                <w:kern w:val="0"/>
                <w:sz w:val="24"/>
              </w:rPr>
              <w:t>Nm</w:t>
            </w:r>
            <w:r>
              <w:rPr>
                <w:color w:val="auto"/>
                <w:kern w:val="0"/>
                <w:sz w:val="24"/>
                <w:vertAlign w:val="superscript"/>
              </w:rPr>
              <w:t>3</w:t>
            </w:r>
            <w:r>
              <w:rPr>
                <w:color w:val="auto"/>
                <w:kern w:val="0"/>
                <w:sz w:val="24"/>
              </w:rPr>
              <w:t>/a，远期（2026~2030年）向中电常熟热电有限公司供气5.0×10</w:t>
            </w:r>
            <w:r>
              <w:rPr>
                <w:color w:val="auto"/>
                <w:kern w:val="0"/>
                <w:sz w:val="24"/>
                <w:vertAlign w:val="superscript"/>
              </w:rPr>
              <w:t>8</w:t>
            </w:r>
            <w:r>
              <w:rPr>
                <w:color w:val="auto"/>
                <w:kern w:val="0"/>
                <w:sz w:val="24"/>
              </w:rPr>
              <w:t>Nm</w:t>
            </w:r>
            <w:r>
              <w:rPr>
                <w:color w:val="auto"/>
                <w:kern w:val="0"/>
                <w:sz w:val="24"/>
                <w:vertAlign w:val="superscript"/>
              </w:rPr>
              <w:t>3</w:t>
            </w:r>
            <w:r>
              <w:rPr>
                <w:color w:val="auto"/>
                <w:kern w:val="0"/>
                <w:sz w:val="24"/>
              </w:rPr>
              <w:t>/a。目前中电常熟2台100兆瓦级燃气-蒸汽联合循环机组已建成，已对开发区集中供热。</w:t>
            </w:r>
          </w:p>
          <w:p>
            <w:pPr>
              <w:widowControl/>
              <w:numPr>
                <w:ilvl w:val="0"/>
                <w:numId w:val="2"/>
              </w:numPr>
              <w:spacing w:line="360" w:lineRule="auto"/>
              <w:ind w:firstLine="480" w:firstLineChars="200"/>
              <w:jc w:val="left"/>
              <w:rPr>
                <w:color w:val="auto"/>
                <w:kern w:val="0"/>
                <w:sz w:val="24"/>
              </w:rPr>
            </w:pPr>
            <w:r>
              <w:rPr>
                <w:color w:val="auto"/>
                <w:kern w:val="0"/>
                <w:sz w:val="24"/>
              </w:rPr>
              <w:t>供水</w:t>
            </w:r>
          </w:p>
          <w:p>
            <w:pPr>
              <w:widowControl/>
              <w:spacing w:line="360" w:lineRule="auto"/>
              <w:ind w:firstLine="480" w:firstLineChars="200"/>
              <w:jc w:val="left"/>
              <w:rPr>
                <w:color w:val="auto"/>
                <w:kern w:val="0"/>
                <w:sz w:val="24"/>
              </w:rPr>
            </w:pPr>
            <w:r>
              <w:rPr>
                <w:color w:val="auto"/>
                <w:kern w:val="0"/>
                <w:sz w:val="24"/>
              </w:rPr>
              <w:t>常熟高新区供水采用常熟市区域供水的方式，由区域水厂统一供应。高新区主要由新建的古里增压泵站和藕渠增压泵站供水。</w:t>
            </w:r>
          </w:p>
          <w:p>
            <w:pPr>
              <w:widowControl/>
              <w:numPr>
                <w:ilvl w:val="0"/>
                <w:numId w:val="2"/>
              </w:numPr>
              <w:spacing w:line="360" w:lineRule="auto"/>
              <w:ind w:firstLine="480" w:firstLineChars="200"/>
              <w:jc w:val="left"/>
              <w:rPr>
                <w:color w:val="auto"/>
                <w:kern w:val="0"/>
                <w:sz w:val="24"/>
              </w:rPr>
            </w:pPr>
            <w:r>
              <w:rPr>
                <w:color w:val="auto"/>
                <w:kern w:val="0"/>
                <w:sz w:val="24"/>
              </w:rPr>
              <w:t>排水工程</w:t>
            </w:r>
          </w:p>
          <w:p>
            <w:pPr>
              <w:widowControl/>
              <w:spacing w:line="360" w:lineRule="auto"/>
              <w:ind w:firstLine="480" w:firstLineChars="200"/>
              <w:jc w:val="left"/>
              <w:rPr>
                <w:color w:val="auto"/>
                <w:kern w:val="0"/>
                <w:sz w:val="24"/>
              </w:rPr>
            </w:pPr>
            <w:r>
              <w:rPr>
                <w:color w:val="auto"/>
                <w:kern w:val="0"/>
                <w:sz w:val="24"/>
              </w:rPr>
              <w:t>开发区内采用雨污分流的排水体制。</w:t>
            </w:r>
          </w:p>
          <w:p>
            <w:pPr>
              <w:widowControl/>
              <w:spacing w:line="360" w:lineRule="auto"/>
              <w:ind w:firstLine="480" w:firstLineChars="200"/>
              <w:jc w:val="left"/>
              <w:rPr>
                <w:color w:val="auto"/>
                <w:kern w:val="0"/>
                <w:sz w:val="24"/>
              </w:rPr>
            </w:pPr>
            <w:r>
              <w:rPr>
                <w:color w:val="auto"/>
                <w:kern w:val="0"/>
                <w:sz w:val="24"/>
              </w:rPr>
              <w:t>雨水收集采用分组团，分片收集，就近以重力流排入水体。分区按地形特点及主要河流水系来划分，开发区内可分为多个相对独立的雨水收集系统、排放分区。</w:t>
            </w:r>
          </w:p>
          <w:p>
            <w:pPr>
              <w:widowControl/>
              <w:spacing w:line="360" w:lineRule="auto"/>
              <w:ind w:firstLine="480" w:firstLineChars="200"/>
              <w:jc w:val="left"/>
              <w:rPr>
                <w:color w:val="auto"/>
                <w:kern w:val="0"/>
                <w:sz w:val="24"/>
              </w:rPr>
            </w:pPr>
            <w:r>
              <w:rPr>
                <w:color w:val="auto"/>
                <w:kern w:val="0"/>
                <w:sz w:val="24"/>
              </w:rPr>
              <w:t>高新区污水排放按流域划片，其中张家港河以西区域，纳入常熟市东南污水处理厂服务范围；张家港河以东区域，纳入凯发新泉污水处理厂处理。开发区新建城东净水厂，规模12万t/d。</w:t>
            </w:r>
          </w:p>
          <w:p>
            <w:pPr>
              <w:widowControl/>
              <w:spacing w:line="360" w:lineRule="auto"/>
              <w:ind w:firstLine="480" w:firstLineChars="200"/>
              <w:jc w:val="left"/>
              <w:rPr>
                <w:color w:val="auto"/>
                <w:kern w:val="0"/>
                <w:sz w:val="24"/>
              </w:rPr>
            </w:pPr>
            <w:r>
              <w:rPr>
                <w:color w:val="auto"/>
                <w:kern w:val="0"/>
                <w:sz w:val="24"/>
              </w:rPr>
              <w:t>凯发新泉水务(常熟）有限公司采用厌氧水解酸化+活性污泥法工艺处理，可接纳工业废水和生活污水，尾水达标后排入白茆塘。凯发新泉水务(常熟）有限公司设计规模为6万m</w:t>
            </w:r>
            <w:r>
              <w:rPr>
                <w:color w:val="auto"/>
                <w:kern w:val="0"/>
                <w:sz w:val="24"/>
                <w:vertAlign w:val="superscript"/>
              </w:rPr>
              <w:t>3</w:t>
            </w:r>
            <w:r>
              <w:rPr>
                <w:color w:val="auto"/>
                <w:kern w:val="0"/>
                <w:sz w:val="24"/>
              </w:rPr>
              <w:t>/d，目前一期3万m</w:t>
            </w:r>
            <w:r>
              <w:rPr>
                <w:color w:val="auto"/>
                <w:kern w:val="0"/>
                <w:sz w:val="24"/>
                <w:vertAlign w:val="superscript"/>
              </w:rPr>
              <w:t>3</w:t>
            </w:r>
            <w:r>
              <w:rPr>
                <w:color w:val="auto"/>
                <w:kern w:val="0"/>
                <w:sz w:val="24"/>
              </w:rPr>
              <w:t>/d及二期1万m</w:t>
            </w:r>
            <w:r>
              <w:rPr>
                <w:color w:val="auto"/>
                <w:kern w:val="0"/>
                <w:sz w:val="24"/>
                <w:vertAlign w:val="superscript"/>
              </w:rPr>
              <w:t>3</w:t>
            </w:r>
            <w:r>
              <w:rPr>
                <w:color w:val="auto"/>
                <w:kern w:val="0"/>
                <w:sz w:val="24"/>
              </w:rPr>
              <w:t>/d均已投入运行。</w:t>
            </w:r>
          </w:p>
          <w:p>
            <w:pPr>
              <w:widowControl/>
              <w:spacing w:line="360" w:lineRule="auto"/>
              <w:ind w:firstLine="480" w:firstLineChars="200"/>
              <w:jc w:val="left"/>
              <w:rPr>
                <w:color w:val="auto"/>
                <w:kern w:val="0"/>
                <w:sz w:val="24"/>
              </w:rPr>
            </w:pPr>
            <w:r>
              <w:rPr>
                <w:color w:val="auto"/>
                <w:kern w:val="0"/>
                <w:sz w:val="24"/>
              </w:rPr>
              <w:t>城东净水厂尾水达标后排入大滃河。城东净水厂设计规模为12万m</w:t>
            </w:r>
            <w:r>
              <w:rPr>
                <w:color w:val="auto"/>
                <w:kern w:val="0"/>
                <w:sz w:val="24"/>
                <w:vertAlign w:val="superscript"/>
              </w:rPr>
              <w:t>3</w:t>
            </w:r>
            <w:r>
              <w:rPr>
                <w:color w:val="auto"/>
                <w:kern w:val="0"/>
                <w:sz w:val="24"/>
              </w:rPr>
              <w:t>/d，目前已投入运行。</w:t>
            </w:r>
          </w:p>
          <w:p>
            <w:pPr>
              <w:widowControl/>
              <w:numPr>
                <w:ilvl w:val="0"/>
                <w:numId w:val="2"/>
              </w:numPr>
              <w:spacing w:line="360" w:lineRule="auto"/>
              <w:ind w:firstLine="480" w:firstLineChars="200"/>
              <w:jc w:val="left"/>
              <w:rPr>
                <w:color w:val="auto"/>
                <w:kern w:val="0"/>
                <w:sz w:val="24"/>
              </w:rPr>
            </w:pPr>
            <w:r>
              <w:rPr>
                <w:color w:val="auto"/>
                <w:kern w:val="0"/>
                <w:sz w:val="24"/>
              </w:rPr>
              <w:t>管网工程</w:t>
            </w:r>
          </w:p>
          <w:p>
            <w:pPr>
              <w:widowControl/>
              <w:spacing w:line="360" w:lineRule="auto"/>
              <w:ind w:firstLine="480" w:firstLineChars="200"/>
              <w:jc w:val="left"/>
              <w:rPr>
                <w:color w:val="auto"/>
                <w:kern w:val="0"/>
                <w:sz w:val="24"/>
              </w:rPr>
            </w:pPr>
            <w:r>
              <w:rPr>
                <w:color w:val="auto"/>
                <w:kern w:val="0"/>
                <w:sz w:val="24"/>
              </w:rPr>
              <w:t>目前开发区内污水管网已经全部建设完成，已经覆盖整个开发区内，因此开发区内所有企业的废水在达到接管标准的前提下均可排入凯发新泉水务(常熟）有限公司或城东净水厂进行接管处理。</w:t>
            </w:r>
          </w:p>
          <w:p>
            <w:pPr>
              <w:widowControl/>
              <w:numPr>
                <w:ilvl w:val="0"/>
                <w:numId w:val="2"/>
              </w:numPr>
              <w:spacing w:line="360" w:lineRule="auto"/>
              <w:ind w:firstLine="480" w:firstLineChars="200"/>
              <w:jc w:val="left"/>
              <w:rPr>
                <w:color w:val="auto"/>
                <w:kern w:val="0"/>
                <w:sz w:val="24"/>
              </w:rPr>
            </w:pPr>
            <w:r>
              <w:rPr>
                <w:color w:val="auto"/>
                <w:kern w:val="0"/>
                <w:sz w:val="24"/>
              </w:rPr>
              <w:t>供电工程</w:t>
            </w:r>
          </w:p>
          <w:p>
            <w:pPr>
              <w:widowControl/>
              <w:spacing w:line="360" w:lineRule="auto"/>
              <w:ind w:firstLine="480" w:firstLineChars="200"/>
              <w:jc w:val="left"/>
              <w:rPr>
                <w:color w:val="auto"/>
                <w:kern w:val="0"/>
                <w:sz w:val="24"/>
              </w:rPr>
            </w:pPr>
            <w:r>
              <w:rPr>
                <w:color w:val="auto"/>
                <w:kern w:val="0"/>
                <w:sz w:val="24"/>
              </w:rPr>
              <w:t>根据常熟市市域电网规划，在开发区以西新建220KV熟南变电所，主变容为2×180MVA，在开发区新建220KV承湖变电所，主变容为2×180MVA。规划近期在虞东、熟南和承湖3个220KV变电站间形成环路，形成园区安全、稳定的供电网络，并在规划中新建昆承110KV变电所。</w:t>
            </w:r>
          </w:p>
          <w:p>
            <w:pPr>
              <w:widowControl/>
              <w:spacing w:line="360" w:lineRule="auto"/>
              <w:ind w:firstLine="480" w:firstLineChars="200"/>
              <w:jc w:val="left"/>
              <w:rPr>
                <w:color w:val="auto"/>
                <w:kern w:val="0"/>
                <w:sz w:val="24"/>
              </w:rPr>
            </w:pPr>
            <w:r>
              <w:rPr>
                <w:color w:val="auto"/>
                <w:kern w:val="0"/>
                <w:sz w:val="24"/>
              </w:rPr>
              <w:t>本项目位于</w:t>
            </w:r>
            <w:r>
              <w:rPr>
                <w:color w:val="auto"/>
                <w:sz w:val="24"/>
              </w:rPr>
              <w:t>江苏省常熟市东南街道庐山路68号</w:t>
            </w:r>
            <w:r>
              <w:rPr>
                <w:color w:val="auto"/>
                <w:kern w:val="0"/>
                <w:sz w:val="24"/>
              </w:rPr>
              <w:t>，根据附图3《常熟南部新城东部中片区控制性详细规划》可知，所在地块属于工业用地，选址合理，符合相关用地规划要求。本项目为</w:t>
            </w:r>
            <w:r>
              <w:rPr>
                <w:color w:val="auto"/>
                <w:sz w:val="24"/>
              </w:rPr>
              <w:t>新建自用危险化学品专用仓库项目</w:t>
            </w:r>
            <w:r>
              <w:rPr>
                <w:color w:val="auto"/>
                <w:kern w:val="0"/>
                <w:sz w:val="24"/>
              </w:rPr>
              <w:t>，属于企业配套自用服务，符合常熟高新技术产业开发区规划。</w:t>
            </w:r>
          </w:p>
          <w:p>
            <w:pPr>
              <w:widowControl/>
              <w:numPr>
                <w:ilvl w:val="0"/>
                <w:numId w:val="2"/>
              </w:numPr>
              <w:spacing w:line="360" w:lineRule="auto"/>
              <w:ind w:firstLine="480" w:firstLineChars="200"/>
              <w:jc w:val="left"/>
              <w:rPr>
                <w:color w:val="auto"/>
                <w:sz w:val="24"/>
              </w:rPr>
            </w:pPr>
            <w:r>
              <w:rPr>
                <w:color w:val="auto"/>
                <w:kern w:val="0"/>
                <w:sz w:val="24"/>
              </w:rPr>
              <w:t>燃气规划</w:t>
            </w:r>
          </w:p>
          <w:p>
            <w:pPr>
              <w:widowControl/>
              <w:spacing w:line="360" w:lineRule="auto"/>
              <w:ind w:firstLine="480" w:firstLineChars="200"/>
              <w:jc w:val="left"/>
              <w:rPr>
                <w:color w:val="auto"/>
                <w:kern w:val="0"/>
                <w:sz w:val="24"/>
              </w:rPr>
            </w:pPr>
            <w:r>
              <w:rPr>
                <w:color w:val="auto"/>
                <w:kern w:val="0"/>
                <w:sz w:val="24"/>
              </w:rPr>
              <w:t>本区块规划气源为“西气东输”天然气，天然气主要来自沙家浜门站，天然气低热值按36.33兆焦/标准立方米计。高新区燃气管网采用中压一级和中低压二级相结合方式。新建天然气中压管道以燃气用聚乙烯管(PE管）为主，燃气管道布置在人行道或绿化带内，现状已敷设管道的路段，新建管道利用现有的管道接口沿道路同侧自然延伸；未敷设管道的路段，新建燃气管道一般位于东西向道路的北侧、南北向道路的西侧。</w:t>
            </w:r>
          </w:p>
          <w:p>
            <w:pPr>
              <w:widowControl/>
              <w:spacing w:line="360" w:lineRule="auto"/>
              <w:ind w:firstLine="480" w:firstLineChars="200"/>
              <w:jc w:val="left"/>
              <w:rPr>
                <w:color w:val="auto"/>
                <w:kern w:val="0"/>
                <w:sz w:val="24"/>
              </w:rPr>
            </w:pPr>
            <w:r>
              <w:rPr>
                <w:color w:val="auto"/>
                <w:kern w:val="0"/>
                <w:sz w:val="24"/>
              </w:rPr>
              <w:t>根据《常熟南部新城局部片区控制性详细规划（2022年12月调整）》：</w:t>
            </w:r>
          </w:p>
          <w:p>
            <w:pPr>
              <w:widowControl/>
              <w:spacing w:line="360" w:lineRule="auto"/>
              <w:ind w:firstLine="480" w:firstLineChars="200"/>
              <w:jc w:val="left"/>
              <w:rPr>
                <w:color w:val="auto"/>
                <w:kern w:val="0"/>
                <w:sz w:val="24"/>
              </w:rPr>
            </w:pPr>
            <w:r>
              <w:rPr>
                <w:color w:val="auto"/>
                <w:kern w:val="0"/>
                <w:sz w:val="24"/>
              </w:rPr>
              <w:t>（1）调整范围</w:t>
            </w:r>
          </w:p>
          <w:p>
            <w:pPr>
              <w:widowControl/>
              <w:spacing w:line="360" w:lineRule="auto"/>
              <w:ind w:firstLine="480" w:firstLineChars="200"/>
              <w:jc w:val="left"/>
              <w:rPr>
                <w:color w:val="auto"/>
                <w:kern w:val="0"/>
                <w:sz w:val="24"/>
              </w:rPr>
            </w:pPr>
            <w:r>
              <w:rPr>
                <w:color w:val="auto"/>
                <w:kern w:val="0"/>
                <w:sz w:val="24"/>
              </w:rPr>
              <w:t>本次调整范围涉及常熟南部新城核心区、常熟南部新城北区块、东部西片区及金湖路以东片区4个区域的控规，调整范围共约215.93公顷。</w:t>
            </w:r>
          </w:p>
          <w:p>
            <w:pPr>
              <w:widowControl/>
              <w:spacing w:line="360" w:lineRule="auto"/>
              <w:ind w:firstLine="480" w:firstLineChars="200"/>
              <w:jc w:val="left"/>
              <w:rPr>
                <w:color w:val="auto"/>
                <w:kern w:val="0"/>
                <w:sz w:val="24"/>
              </w:rPr>
            </w:pPr>
            <w:r>
              <w:rPr>
                <w:color w:val="auto"/>
                <w:kern w:val="0"/>
                <w:sz w:val="24"/>
              </w:rPr>
              <w:t>（2）调整内容延续各片区原规划功能结构，本次调整对常熟南部新城核心区控规（S04-04基本控制单元）、常熟南部新城北区块控规（S03-060基本控制单元）、常熟南部新城东部西片区控规（E04-03及E04-02基本控制单元）、常熟南部新城金湖路以东片区控规（ZC-E-03-03、ZC-E-03-04及ZC-E-03-05图则单元）中局部规划内容进行了调整。</w:t>
            </w:r>
          </w:p>
          <w:p>
            <w:pPr>
              <w:widowControl/>
              <w:spacing w:line="360" w:lineRule="auto"/>
              <w:ind w:firstLine="480" w:firstLineChars="200"/>
              <w:jc w:val="left"/>
              <w:rPr>
                <w:color w:val="auto"/>
                <w:sz w:val="24"/>
              </w:rPr>
            </w:pPr>
            <w:r>
              <w:rPr>
                <w:color w:val="auto"/>
                <w:kern w:val="0"/>
                <w:sz w:val="24"/>
              </w:rPr>
              <w:t>本项目位于常熟市东南街道庐山路68号，根据《常熟市南部新城局部片区控制性详细规划（2022年修改）》中土地使用规划图，项目所在地块为一类工业用地，根据企业提供的土地证，项目用地性质为工业用地，选址合理，符合相关用地规划要求。本项目为新建自用危险化学品专用仓库项目，属于企业配套服务，符合常熟高新技术产业开发区规划。</w:t>
            </w:r>
          </w:p>
          <w:p>
            <w:pPr>
              <w:widowControl/>
              <w:spacing w:line="360" w:lineRule="auto"/>
              <w:jc w:val="left"/>
              <w:rPr>
                <w:b/>
                <w:bCs/>
                <w:color w:val="auto"/>
                <w:kern w:val="0"/>
                <w:sz w:val="24"/>
              </w:rPr>
            </w:pPr>
            <w:r>
              <w:rPr>
                <w:b/>
                <w:bCs/>
                <w:color w:val="auto"/>
                <w:kern w:val="0"/>
                <w:sz w:val="24"/>
              </w:rPr>
              <w:t>2、《常熟高新技术产业开发区发展总体规划（2016-2030）环境影响报告书》的相符性</w:t>
            </w:r>
          </w:p>
          <w:p>
            <w:pPr>
              <w:widowControl/>
              <w:spacing w:line="360" w:lineRule="auto"/>
              <w:ind w:firstLine="480" w:firstLineChars="200"/>
              <w:jc w:val="left"/>
              <w:rPr>
                <w:color w:val="auto"/>
              </w:rPr>
            </w:pPr>
            <w:r>
              <w:rPr>
                <w:color w:val="auto"/>
                <w:kern w:val="0"/>
                <w:sz w:val="24"/>
              </w:rPr>
              <w:t>本项目与开发区规划环评生态环境准入相符性分析详见下表。</w:t>
            </w:r>
          </w:p>
          <w:p>
            <w:pPr>
              <w:widowControl/>
              <w:jc w:val="center"/>
              <w:rPr>
                <w:b/>
                <w:bCs/>
                <w:color w:val="auto"/>
              </w:rPr>
            </w:pPr>
            <w:r>
              <w:rPr>
                <w:b/>
                <w:bCs/>
                <w:color w:val="auto"/>
                <w:kern w:val="0"/>
                <w:sz w:val="24"/>
              </w:rPr>
              <w:t>表1-1常熟高新技术产业开发区生态环境准入清单</w:t>
            </w:r>
          </w:p>
          <w:tbl>
            <w:tblPr>
              <w:tblStyle w:val="20"/>
              <w:tblW w:w="84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7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 w:type="dxa"/>
                  <w:vAlign w:val="center"/>
                </w:tcPr>
                <w:p>
                  <w:pPr>
                    <w:widowControl/>
                    <w:spacing w:line="264" w:lineRule="auto"/>
                    <w:jc w:val="center"/>
                    <w:rPr>
                      <w:color w:val="auto"/>
                    </w:rPr>
                  </w:pPr>
                  <w:r>
                    <w:rPr>
                      <w:color w:val="auto"/>
                    </w:rPr>
                    <w:t>清单</w:t>
                  </w:r>
                </w:p>
                <w:p>
                  <w:pPr>
                    <w:widowControl/>
                    <w:spacing w:line="264" w:lineRule="auto"/>
                    <w:jc w:val="center"/>
                    <w:rPr>
                      <w:color w:val="auto"/>
                    </w:rPr>
                  </w:pPr>
                  <w:r>
                    <w:rPr>
                      <w:color w:val="auto"/>
                    </w:rPr>
                    <w:t>类型</w:t>
                  </w:r>
                </w:p>
              </w:tc>
              <w:tc>
                <w:tcPr>
                  <w:tcW w:w="7462" w:type="dxa"/>
                  <w:vAlign w:val="center"/>
                </w:tcPr>
                <w:p>
                  <w:pPr>
                    <w:widowControl/>
                    <w:spacing w:line="264" w:lineRule="auto"/>
                    <w:jc w:val="center"/>
                    <w:rPr>
                      <w:color w:val="auto"/>
                    </w:rPr>
                  </w:pPr>
                  <w:r>
                    <w:rPr>
                      <w:color w:val="auto"/>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 w:type="dxa"/>
                  <w:vAlign w:val="center"/>
                </w:tcPr>
                <w:p>
                  <w:pPr>
                    <w:widowControl/>
                    <w:spacing w:line="264" w:lineRule="auto"/>
                    <w:jc w:val="center"/>
                    <w:rPr>
                      <w:color w:val="auto"/>
                      <w:szCs w:val="21"/>
                    </w:rPr>
                  </w:pPr>
                  <w:r>
                    <w:rPr>
                      <w:color w:val="auto"/>
                      <w:szCs w:val="21"/>
                    </w:rPr>
                    <w:t>行业准入（限制禁止类）</w:t>
                  </w:r>
                </w:p>
              </w:tc>
              <w:tc>
                <w:tcPr>
                  <w:tcW w:w="7462" w:type="dxa"/>
                </w:tcPr>
                <w:p>
                  <w:pPr>
                    <w:widowControl/>
                    <w:spacing w:line="264" w:lineRule="auto"/>
                    <w:jc w:val="left"/>
                    <w:rPr>
                      <w:color w:val="auto"/>
                      <w:szCs w:val="21"/>
                    </w:rPr>
                  </w:pPr>
                  <w:r>
                    <w:rPr>
                      <w:color w:val="auto"/>
                      <w:kern w:val="0"/>
                      <w:szCs w:val="21"/>
                    </w:rPr>
                    <w:t>1.装备制造产业：禁止建设高挥发性有机物含量溶剂、胶黏剂的项目；纯电镀项目；</w:t>
                  </w:r>
                </w:p>
                <w:p>
                  <w:pPr>
                    <w:widowControl/>
                    <w:spacing w:line="264" w:lineRule="auto"/>
                    <w:jc w:val="left"/>
                    <w:rPr>
                      <w:color w:val="auto"/>
                      <w:szCs w:val="21"/>
                    </w:rPr>
                  </w:pPr>
                  <w:r>
                    <w:rPr>
                      <w:color w:val="auto"/>
                      <w:kern w:val="0"/>
                      <w:szCs w:val="21"/>
                    </w:rPr>
                    <w:t>2.汽车及零部件产业：禁止建设高挥发性有机物含量溶剂、胶黏剂的项目；</w:t>
                  </w:r>
                </w:p>
                <w:p>
                  <w:pPr>
                    <w:widowControl/>
                    <w:spacing w:line="264" w:lineRule="auto"/>
                    <w:jc w:val="left"/>
                    <w:rPr>
                      <w:color w:val="auto"/>
                      <w:szCs w:val="21"/>
                    </w:rPr>
                  </w:pPr>
                  <w:r>
                    <w:rPr>
                      <w:color w:val="auto"/>
                      <w:kern w:val="0"/>
                      <w:szCs w:val="21"/>
                    </w:rPr>
                    <w:t>3.电子信息产业：禁止建设纯电镀项目；</w:t>
                  </w:r>
                </w:p>
                <w:p>
                  <w:pPr>
                    <w:widowControl/>
                    <w:spacing w:line="264" w:lineRule="auto"/>
                    <w:jc w:val="left"/>
                    <w:rPr>
                      <w:color w:val="auto"/>
                      <w:szCs w:val="21"/>
                    </w:rPr>
                  </w:pPr>
                  <w:r>
                    <w:rPr>
                      <w:color w:val="auto"/>
                      <w:kern w:val="0"/>
                      <w:szCs w:val="21"/>
                    </w:rPr>
                    <w:t>4.新建、改建、扩建化学制浆造纸、制革、酿造、染料、印染、电镀及其他排放含氮磷等污染物的企业和项目（战略性新兴产业及现有含氮磷污染物项目改建需实施氮磷污染物年排放总量减量替代）。严格执行《江苏省长江经济带发展负面清单实施细则》、《关于促进长三角地区经济社会与生态环境保护协调发展的指导意见》、水十条、土十条、《“263”专项行动实施方案》、《江苏省太湖水污染防治条例》等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 w:type="dxa"/>
                  <w:vAlign w:val="center"/>
                </w:tcPr>
                <w:p>
                  <w:pPr>
                    <w:widowControl/>
                    <w:spacing w:line="264" w:lineRule="auto"/>
                    <w:jc w:val="center"/>
                    <w:rPr>
                      <w:color w:val="auto"/>
                    </w:rPr>
                  </w:pPr>
                  <w:r>
                    <w:rPr>
                      <w:color w:val="auto"/>
                    </w:rPr>
                    <w:t>空间布局约束</w:t>
                  </w:r>
                </w:p>
              </w:tc>
              <w:tc>
                <w:tcPr>
                  <w:tcW w:w="7462" w:type="dxa"/>
                </w:tcPr>
                <w:p>
                  <w:pPr>
                    <w:widowControl/>
                    <w:spacing w:line="264" w:lineRule="auto"/>
                    <w:jc w:val="left"/>
                    <w:rPr>
                      <w:color w:val="auto"/>
                    </w:rPr>
                  </w:pPr>
                  <w:r>
                    <w:rPr>
                      <w:color w:val="auto"/>
                      <w:kern w:val="0"/>
                      <w:szCs w:val="21"/>
                    </w:rPr>
                    <w:t>1.禁止铁路、公路及主要城市道路防护绿带、水系防护绿带、高压走廊防护绿地、工业区与居住区之间的防护绿带、市政设施周围防护绿带内的开发建设；</w:t>
                  </w:r>
                </w:p>
                <w:p>
                  <w:pPr>
                    <w:widowControl/>
                    <w:spacing w:line="264" w:lineRule="auto"/>
                    <w:jc w:val="left"/>
                    <w:rPr>
                      <w:color w:val="auto"/>
                    </w:rPr>
                  </w:pPr>
                  <w:r>
                    <w:rPr>
                      <w:color w:val="auto"/>
                      <w:kern w:val="0"/>
                      <w:szCs w:val="21"/>
                    </w:rPr>
                    <w:t>2.居住用地周边100米范围内工业用地禁止引入含喷涂、酸洗等项目、禁止建设危化品仓库；</w:t>
                  </w:r>
                </w:p>
                <w:p>
                  <w:pPr>
                    <w:widowControl/>
                    <w:spacing w:line="264" w:lineRule="auto"/>
                    <w:jc w:val="left"/>
                    <w:rPr>
                      <w:color w:val="auto"/>
                    </w:rPr>
                  </w:pPr>
                  <w:r>
                    <w:rPr>
                      <w:color w:val="auto"/>
                      <w:kern w:val="0"/>
                      <w:szCs w:val="21"/>
                    </w:rPr>
                    <w:t>3.禁止重要湿地生态空间管控区域内不符合管控要求的开发建设；</w:t>
                  </w:r>
                </w:p>
                <w:p>
                  <w:pPr>
                    <w:widowControl/>
                    <w:spacing w:line="264" w:lineRule="auto"/>
                    <w:jc w:val="left"/>
                    <w:rPr>
                      <w:color w:val="auto"/>
                    </w:rPr>
                  </w:pPr>
                  <w:r>
                    <w:rPr>
                      <w:color w:val="auto"/>
                      <w:kern w:val="0"/>
                      <w:szCs w:val="21"/>
                    </w:rPr>
                    <w:t>4.城市总体规划中的非建设用地（农林用地），在城市总规修编批复前暂缓开发。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 w:type="dxa"/>
                  <w:vAlign w:val="center"/>
                </w:tcPr>
                <w:p>
                  <w:pPr>
                    <w:widowControl/>
                    <w:spacing w:line="264" w:lineRule="auto"/>
                    <w:jc w:val="center"/>
                    <w:rPr>
                      <w:color w:val="auto"/>
                    </w:rPr>
                  </w:pPr>
                  <w:r>
                    <w:rPr>
                      <w:color w:val="auto"/>
                    </w:rPr>
                    <w:t>污染物排放管控</w:t>
                  </w:r>
                </w:p>
              </w:tc>
              <w:tc>
                <w:tcPr>
                  <w:tcW w:w="7462" w:type="dxa"/>
                </w:tcPr>
                <w:p>
                  <w:pPr>
                    <w:widowControl/>
                    <w:spacing w:line="264" w:lineRule="auto"/>
                    <w:jc w:val="left"/>
                    <w:rPr>
                      <w:color w:val="auto"/>
                    </w:rPr>
                  </w:pPr>
                  <w:r>
                    <w:rPr>
                      <w:color w:val="auto"/>
                      <w:kern w:val="0"/>
                      <w:szCs w:val="21"/>
                    </w:rPr>
                    <w:t>1.高新区近期外排量COD951.09吨/年、NH</w:t>
                  </w:r>
                  <w:r>
                    <w:rPr>
                      <w:color w:val="auto"/>
                      <w:kern w:val="0"/>
                      <w:sz w:val="13"/>
                      <w:szCs w:val="13"/>
                    </w:rPr>
                    <w:t>3</w:t>
                  </w:r>
                  <w:r>
                    <w:rPr>
                      <w:color w:val="auto"/>
                      <w:kern w:val="0"/>
                      <w:szCs w:val="21"/>
                    </w:rPr>
                    <w:t>-N78.38吨/年、总氮256.58吨/年、总磷8.42吨/年；远期外排量COD1095.63吨/年、NH</w:t>
                  </w:r>
                  <w:r>
                    <w:rPr>
                      <w:color w:val="auto"/>
                      <w:kern w:val="0"/>
                      <w:sz w:val="13"/>
                      <w:szCs w:val="13"/>
                    </w:rPr>
                    <w:t>3</w:t>
                  </w:r>
                  <w:r>
                    <w:rPr>
                      <w:color w:val="auto"/>
                      <w:kern w:val="0"/>
                      <w:szCs w:val="21"/>
                    </w:rPr>
                    <w:t>-N85.61吨/年、总氮304.76吨/年、总磷9.87吨/年；</w:t>
                  </w:r>
                </w:p>
                <w:p>
                  <w:pPr>
                    <w:widowControl/>
                    <w:spacing w:line="264" w:lineRule="auto"/>
                    <w:jc w:val="left"/>
                    <w:rPr>
                      <w:color w:val="auto"/>
                    </w:rPr>
                  </w:pPr>
                  <w:r>
                    <w:rPr>
                      <w:color w:val="auto"/>
                      <w:kern w:val="0"/>
                      <w:szCs w:val="21"/>
                    </w:rPr>
                    <w:t>2.高新区SO</w:t>
                  </w:r>
                  <w:r>
                    <w:rPr>
                      <w:color w:val="auto"/>
                      <w:kern w:val="0"/>
                      <w:sz w:val="13"/>
                      <w:szCs w:val="13"/>
                    </w:rPr>
                    <w:t>2</w:t>
                  </w:r>
                  <w:r>
                    <w:rPr>
                      <w:color w:val="auto"/>
                      <w:kern w:val="0"/>
                      <w:szCs w:val="21"/>
                    </w:rPr>
                    <w:t>总量近期240.55吨/年、远期236.10吨/年；NOx总量近期560.99吨/年、远期554.62吨/年；烟粉尘近期166.07吨/年、远期157.74吨/年；VOCs近期69.50吨/年；远期65.29吨/年；</w:t>
                  </w:r>
                </w:p>
                <w:p>
                  <w:pPr>
                    <w:widowControl/>
                    <w:spacing w:line="264" w:lineRule="auto"/>
                    <w:jc w:val="left"/>
                    <w:rPr>
                      <w:color w:val="auto"/>
                    </w:rPr>
                  </w:pPr>
                  <w:r>
                    <w:rPr>
                      <w:color w:val="auto"/>
                      <w:kern w:val="0"/>
                      <w:szCs w:val="21"/>
                    </w:rPr>
                    <w:t>3.污水不能接管的项目、污水管网尚未敷设到位地块的开发建设；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 w:type="dxa"/>
                  <w:vAlign w:val="center"/>
                </w:tcPr>
                <w:p>
                  <w:pPr>
                    <w:widowControl/>
                    <w:spacing w:line="264" w:lineRule="auto"/>
                    <w:jc w:val="center"/>
                    <w:rPr>
                      <w:color w:val="auto"/>
                    </w:rPr>
                  </w:pPr>
                  <w:r>
                    <w:rPr>
                      <w:color w:val="auto"/>
                    </w:rPr>
                    <w:t>环境风险防控</w:t>
                  </w:r>
                </w:p>
              </w:tc>
              <w:tc>
                <w:tcPr>
                  <w:tcW w:w="7462" w:type="dxa"/>
                </w:tcPr>
                <w:p>
                  <w:pPr>
                    <w:widowControl/>
                    <w:spacing w:line="264" w:lineRule="auto"/>
                    <w:jc w:val="left"/>
                    <w:rPr>
                      <w:color w:val="auto"/>
                    </w:rPr>
                  </w:pPr>
                  <w:r>
                    <w:rPr>
                      <w:color w:val="auto"/>
                      <w:kern w:val="0"/>
                      <w:szCs w:val="21"/>
                    </w:rPr>
                    <w:t>根据《关于进一步加强环境影响评价管理防范环境风险的通知》（环发[2012]77号）的相关内容，对存在较大环境风险的相关建设项目，应严格按照《环境影响评价公众参与暂行办法》（环发[2006]28号）做好环境影响评价公众参与工作。高新区企业应制定环境应急预案，明确环境风险防范措施，建设并完善日常和应急监测系统，配备大气、水环境特征污染物监控设备，编制日常和应急监测方案，建立完备的环境信息平台，接受公众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 w:type="dxa"/>
                  <w:vAlign w:val="center"/>
                </w:tcPr>
                <w:p>
                  <w:pPr>
                    <w:widowControl/>
                    <w:spacing w:line="264" w:lineRule="auto"/>
                    <w:jc w:val="center"/>
                    <w:rPr>
                      <w:color w:val="auto"/>
                    </w:rPr>
                  </w:pPr>
                  <w:r>
                    <w:rPr>
                      <w:color w:val="auto"/>
                    </w:rPr>
                    <w:t>资源开发利用要求</w:t>
                  </w:r>
                </w:p>
              </w:tc>
              <w:tc>
                <w:tcPr>
                  <w:tcW w:w="7462" w:type="dxa"/>
                </w:tcPr>
                <w:p>
                  <w:pPr>
                    <w:widowControl/>
                    <w:spacing w:line="264" w:lineRule="auto"/>
                    <w:jc w:val="left"/>
                    <w:rPr>
                      <w:color w:val="auto"/>
                    </w:rPr>
                  </w:pPr>
                  <w:r>
                    <w:rPr>
                      <w:color w:val="auto"/>
                      <w:kern w:val="0"/>
                      <w:szCs w:val="21"/>
                    </w:rPr>
                    <w:t>1.单位工业用地工业增加值近期≥9亿元/km</w:t>
                  </w:r>
                  <w:r>
                    <w:rPr>
                      <w:color w:val="auto"/>
                      <w:kern w:val="0"/>
                      <w:szCs w:val="21"/>
                      <w:vertAlign w:val="superscript"/>
                    </w:rPr>
                    <w:t>2</w:t>
                  </w:r>
                  <w:r>
                    <w:rPr>
                      <w:color w:val="auto"/>
                      <w:kern w:val="0"/>
                      <w:szCs w:val="21"/>
                    </w:rPr>
                    <w:t>、远期≥22亿/km</w:t>
                  </w:r>
                  <w:r>
                    <w:rPr>
                      <w:color w:val="auto"/>
                      <w:kern w:val="0"/>
                      <w:szCs w:val="21"/>
                      <w:vertAlign w:val="superscript"/>
                    </w:rPr>
                    <w:t>2</w:t>
                  </w:r>
                  <w:r>
                    <w:rPr>
                      <w:color w:val="auto"/>
                      <w:kern w:val="0"/>
                      <w:szCs w:val="21"/>
                    </w:rPr>
                    <w:t>；</w:t>
                  </w:r>
                </w:p>
                <w:p>
                  <w:pPr>
                    <w:widowControl/>
                    <w:spacing w:line="264" w:lineRule="auto"/>
                    <w:jc w:val="left"/>
                    <w:rPr>
                      <w:color w:val="auto"/>
                    </w:rPr>
                  </w:pPr>
                  <w:r>
                    <w:rPr>
                      <w:color w:val="auto"/>
                      <w:kern w:val="0"/>
                      <w:szCs w:val="21"/>
                    </w:rPr>
                    <w:t>2.单位工业增加值新鲜水耗近期≤9m</w:t>
                  </w:r>
                  <w:r>
                    <w:rPr>
                      <w:color w:val="auto"/>
                      <w:kern w:val="0"/>
                      <w:szCs w:val="21"/>
                      <w:vertAlign w:val="superscript"/>
                    </w:rPr>
                    <w:t>3</w:t>
                  </w:r>
                  <w:r>
                    <w:rPr>
                      <w:color w:val="auto"/>
                      <w:kern w:val="0"/>
                      <w:szCs w:val="21"/>
                    </w:rPr>
                    <w:t>/万元、远期≤8m</w:t>
                  </w:r>
                  <w:r>
                    <w:rPr>
                      <w:color w:val="auto"/>
                      <w:kern w:val="0"/>
                      <w:szCs w:val="21"/>
                      <w:vertAlign w:val="superscript"/>
                    </w:rPr>
                    <w:t>3</w:t>
                  </w:r>
                  <w:r>
                    <w:rPr>
                      <w:color w:val="auto"/>
                      <w:kern w:val="0"/>
                      <w:szCs w:val="21"/>
                    </w:rPr>
                    <w:t>/万元；</w:t>
                  </w:r>
                </w:p>
                <w:p>
                  <w:pPr>
                    <w:widowControl/>
                    <w:spacing w:line="264" w:lineRule="auto"/>
                    <w:jc w:val="left"/>
                    <w:rPr>
                      <w:color w:val="auto"/>
                    </w:rPr>
                  </w:pPr>
                  <w:r>
                    <w:rPr>
                      <w:color w:val="auto"/>
                      <w:kern w:val="0"/>
                      <w:szCs w:val="21"/>
                    </w:rPr>
                    <w:t>3.单位地区生产总值综合能耗近期≤0.2吨标煤/万元、远期≤0.18吨标煤/万元；</w:t>
                  </w:r>
                </w:p>
                <w:p>
                  <w:pPr>
                    <w:widowControl/>
                    <w:spacing w:line="264" w:lineRule="auto"/>
                    <w:jc w:val="left"/>
                    <w:rPr>
                      <w:color w:val="auto"/>
                    </w:rPr>
                  </w:pPr>
                  <w:r>
                    <w:rPr>
                      <w:color w:val="auto"/>
                      <w:kern w:val="0"/>
                      <w:szCs w:val="21"/>
                    </w:rPr>
                    <w:t>4.需自建燃煤设施的项目。</w:t>
                  </w:r>
                </w:p>
              </w:tc>
            </w:tr>
          </w:tbl>
          <w:p>
            <w:pPr>
              <w:widowControl/>
              <w:spacing w:beforeLines="50" w:line="360" w:lineRule="auto"/>
              <w:ind w:firstLine="480" w:firstLineChars="200"/>
              <w:jc w:val="left"/>
              <w:rPr>
                <w:color w:val="auto"/>
              </w:rPr>
            </w:pPr>
            <w:r>
              <w:rPr>
                <w:color w:val="auto"/>
                <w:kern w:val="0"/>
                <w:sz w:val="24"/>
              </w:rPr>
              <w:t>对照上表，本项目为</w:t>
            </w:r>
            <w:r>
              <w:rPr>
                <w:color w:val="auto"/>
                <w:sz w:val="24"/>
              </w:rPr>
              <w:t>新建自用危险化学品专用仓库项目</w:t>
            </w:r>
            <w:r>
              <w:rPr>
                <w:color w:val="auto"/>
                <w:kern w:val="0"/>
                <w:sz w:val="24"/>
              </w:rPr>
              <w:t>，厂界周边100米范围内无居民等环境敏感目标。本项目位于太湖流域三级保护区内，不产生和排放含氮磷的生产废水，因此，本项目符合《江苏省太湖水污染防治条例》的要求，不属于高新区限制禁止类行业。本项目所在地为工业用地，不在重要湿地生态空间管控区域内，不在高新区空间布局约束范围。本项目的建设符合国家、地方产业政策，符合相关环保政策，符合相关规划要求。本项目符合高新区资源开发利用要求。</w:t>
            </w:r>
          </w:p>
          <w:p>
            <w:pPr>
              <w:widowControl/>
              <w:spacing w:line="360" w:lineRule="auto"/>
              <w:ind w:firstLine="480" w:firstLineChars="200"/>
              <w:jc w:val="left"/>
              <w:rPr>
                <w:color w:val="auto"/>
                <w:kern w:val="0"/>
                <w:sz w:val="24"/>
              </w:rPr>
            </w:pPr>
            <w:r>
              <w:rPr>
                <w:color w:val="auto"/>
                <w:kern w:val="0"/>
                <w:sz w:val="24"/>
              </w:rPr>
              <w:t>本项目与《常熟高新技术产业开发区发展总体规划（2016-2030）环境影响报告书》结论相符性分析详见下表。</w:t>
            </w:r>
          </w:p>
          <w:p>
            <w:pPr>
              <w:widowControl/>
              <w:jc w:val="center"/>
              <w:rPr>
                <w:b/>
                <w:bCs/>
                <w:color w:val="auto"/>
                <w:kern w:val="0"/>
                <w:sz w:val="24"/>
              </w:rPr>
            </w:pPr>
            <w:r>
              <w:rPr>
                <w:b/>
                <w:bCs/>
                <w:color w:val="auto"/>
                <w:kern w:val="0"/>
                <w:sz w:val="24"/>
              </w:rPr>
              <w:t>表1-2本项目与开发区规划环评结论相符性</w:t>
            </w:r>
          </w:p>
          <w:tbl>
            <w:tblPr>
              <w:tblStyle w:val="20"/>
              <w:tblW w:w="8438"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9"/>
              <w:gridCol w:w="4906"/>
              <w:gridCol w:w="2212"/>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pPr>
                    <w:pStyle w:val="13"/>
                    <w:snapToGrid/>
                    <w:spacing w:line="264" w:lineRule="auto"/>
                    <w:jc w:val="center"/>
                    <w:rPr>
                      <w:color w:val="auto"/>
                      <w:sz w:val="21"/>
                      <w:szCs w:val="21"/>
                    </w:rPr>
                  </w:pPr>
                  <w:r>
                    <w:rPr>
                      <w:color w:val="auto"/>
                      <w:sz w:val="21"/>
                      <w:szCs w:val="21"/>
                    </w:rPr>
                    <w:t>类别</w:t>
                  </w:r>
                </w:p>
              </w:tc>
              <w:tc>
                <w:tcPr>
                  <w:tcW w:w="4906" w:type="dxa"/>
                  <w:vAlign w:val="center"/>
                </w:tcPr>
                <w:p>
                  <w:pPr>
                    <w:pStyle w:val="13"/>
                    <w:snapToGrid/>
                    <w:spacing w:line="264" w:lineRule="auto"/>
                    <w:jc w:val="center"/>
                    <w:rPr>
                      <w:color w:val="auto"/>
                      <w:sz w:val="21"/>
                      <w:szCs w:val="21"/>
                    </w:rPr>
                  </w:pPr>
                  <w:r>
                    <w:rPr>
                      <w:color w:val="auto"/>
                      <w:sz w:val="21"/>
                      <w:szCs w:val="21"/>
                    </w:rPr>
                    <w:t>规划环评结论</w:t>
                  </w:r>
                </w:p>
              </w:tc>
              <w:tc>
                <w:tcPr>
                  <w:tcW w:w="2212" w:type="dxa"/>
                  <w:vAlign w:val="center"/>
                </w:tcPr>
                <w:p>
                  <w:pPr>
                    <w:pStyle w:val="13"/>
                    <w:snapToGrid/>
                    <w:spacing w:line="264" w:lineRule="auto"/>
                    <w:jc w:val="center"/>
                    <w:rPr>
                      <w:color w:val="auto"/>
                      <w:sz w:val="21"/>
                      <w:szCs w:val="21"/>
                    </w:rPr>
                  </w:pPr>
                  <w:r>
                    <w:rPr>
                      <w:color w:val="auto"/>
                      <w:sz w:val="21"/>
                      <w:szCs w:val="21"/>
                    </w:rPr>
                    <w:t>本项目</w:t>
                  </w:r>
                </w:p>
              </w:tc>
              <w:tc>
                <w:tcPr>
                  <w:tcW w:w="661" w:type="dxa"/>
                  <w:vAlign w:val="center"/>
                </w:tcPr>
                <w:p>
                  <w:pPr>
                    <w:pStyle w:val="13"/>
                    <w:snapToGrid/>
                    <w:spacing w:line="264" w:lineRule="auto"/>
                    <w:jc w:val="center"/>
                    <w:rPr>
                      <w:color w:val="auto"/>
                      <w:sz w:val="21"/>
                      <w:szCs w:val="21"/>
                    </w:rPr>
                  </w:pPr>
                  <w:r>
                    <w:rPr>
                      <w:color w:val="auto"/>
                      <w:sz w:val="21"/>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pPr>
                    <w:pStyle w:val="13"/>
                    <w:snapToGrid/>
                    <w:spacing w:line="264" w:lineRule="auto"/>
                    <w:jc w:val="center"/>
                    <w:rPr>
                      <w:color w:val="auto"/>
                      <w:sz w:val="21"/>
                      <w:szCs w:val="21"/>
                    </w:rPr>
                  </w:pPr>
                  <w:r>
                    <w:rPr>
                      <w:color w:val="auto"/>
                      <w:sz w:val="21"/>
                      <w:szCs w:val="21"/>
                    </w:rPr>
                    <w:t>开发区规划选址合理性分析</w:t>
                  </w:r>
                </w:p>
              </w:tc>
              <w:tc>
                <w:tcPr>
                  <w:tcW w:w="4906" w:type="dxa"/>
                  <w:vAlign w:val="center"/>
                </w:tcPr>
                <w:p>
                  <w:pPr>
                    <w:widowControl/>
                    <w:spacing w:line="264" w:lineRule="auto"/>
                    <w:jc w:val="left"/>
                    <w:rPr>
                      <w:color w:val="auto"/>
                      <w:szCs w:val="21"/>
                    </w:rPr>
                  </w:pPr>
                  <w:r>
                    <w:rPr>
                      <w:color w:val="auto"/>
                      <w:kern w:val="0"/>
                      <w:szCs w:val="21"/>
                    </w:rPr>
                    <w:t>本次评价开发区规划范围为北至三环路、富春江路、白茆塘，东至四环路，南至锡太一级公路、昆承湖东南岸、金象路、久隆路，西至苏常公路，面积为77.48km</w:t>
                  </w:r>
                  <w:r>
                    <w:rPr>
                      <w:color w:val="auto"/>
                      <w:kern w:val="0"/>
                      <w:szCs w:val="21"/>
                      <w:vertAlign w:val="superscript"/>
                    </w:rPr>
                    <w:t>2</w:t>
                  </w:r>
                  <w:r>
                    <w:rPr>
                      <w:color w:val="auto"/>
                      <w:kern w:val="0"/>
                      <w:szCs w:val="21"/>
                    </w:rPr>
                    <w:t>。</w:t>
                  </w:r>
                </w:p>
                <w:p>
                  <w:pPr>
                    <w:widowControl/>
                    <w:spacing w:line="264" w:lineRule="auto"/>
                    <w:jc w:val="left"/>
                    <w:rPr>
                      <w:color w:val="auto"/>
                      <w:szCs w:val="21"/>
                    </w:rPr>
                  </w:pPr>
                  <w:r>
                    <w:rPr>
                      <w:color w:val="auto"/>
                      <w:kern w:val="0"/>
                      <w:szCs w:val="21"/>
                    </w:rPr>
                    <w:t>从环境合理性看，本次规划范围涉及1处生态红线区域（沙家浜-昆承湖重要湿地），对照各红线区域管控要求，总体符合各类生态红线区域管控要求，但昆澄湖生态休闲环、大学及科研创新区、生活配套区等区域涉及沙家浜-昆承湖重要湿地二级管控区，该范围规划为商业用地、居住用地及绿地，目前现状为工业、商业、居住及绿地，在实际建设过程中须严格遵守重要湿地二级管控区相关规定。二级管控区以生态保护为重点，实行差别化的管控措施，严禁有损主导生态功能的开发建设活动。二级管控区内除法律法规有特别规定外，禁止从事下列活动：开（围）垦湿地，放牧、捕捞；填埋、排干湿地或者擅自改变湿地用途；取用或者截断湿地水源；挖砂、取土、开矿；排放生活污水、工业废水；破坏野生动物栖息地、鱼类洄游通道，采挖野生植物或者猎捕野生动物；引进外来物种；其他破坏湿地及其生态功能的活动。</w:t>
                  </w:r>
                </w:p>
              </w:tc>
              <w:tc>
                <w:tcPr>
                  <w:tcW w:w="2212" w:type="dxa"/>
                  <w:vAlign w:val="center"/>
                </w:tcPr>
                <w:p>
                  <w:pPr>
                    <w:widowControl/>
                    <w:spacing w:line="264" w:lineRule="auto"/>
                    <w:jc w:val="center"/>
                    <w:rPr>
                      <w:color w:val="auto"/>
                      <w:szCs w:val="21"/>
                    </w:rPr>
                  </w:pPr>
                  <w:r>
                    <w:rPr>
                      <w:color w:val="auto"/>
                      <w:kern w:val="0"/>
                      <w:szCs w:val="21"/>
                    </w:rPr>
                    <w:t>本项目位于常熟市东南街道庐山路68号，距离最近的生态空间管控区域是西南侧的沙家浜-昆承湖重要湿地约2.2km。</w:t>
                  </w:r>
                </w:p>
              </w:tc>
              <w:tc>
                <w:tcPr>
                  <w:tcW w:w="661" w:type="dxa"/>
                  <w:vAlign w:val="center"/>
                </w:tcPr>
                <w:p>
                  <w:pPr>
                    <w:pStyle w:val="13"/>
                    <w:snapToGrid/>
                    <w:spacing w:line="264" w:lineRule="auto"/>
                    <w:jc w:val="center"/>
                    <w:rPr>
                      <w:color w:val="auto"/>
                      <w:sz w:val="21"/>
                      <w:szCs w:val="21"/>
                    </w:rPr>
                  </w:pPr>
                  <w:r>
                    <w:rPr>
                      <w:color w:val="auto"/>
                      <w:sz w:val="21"/>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pPr>
                    <w:pStyle w:val="13"/>
                    <w:snapToGrid/>
                    <w:spacing w:line="264" w:lineRule="auto"/>
                    <w:jc w:val="center"/>
                    <w:rPr>
                      <w:color w:val="auto"/>
                      <w:sz w:val="21"/>
                      <w:szCs w:val="21"/>
                    </w:rPr>
                  </w:pPr>
                  <w:r>
                    <w:rPr>
                      <w:color w:val="auto"/>
                      <w:sz w:val="21"/>
                      <w:szCs w:val="21"/>
                    </w:rPr>
                    <w:t>产业结构合理性分析</w:t>
                  </w:r>
                </w:p>
              </w:tc>
              <w:tc>
                <w:tcPr>
                  <w:tcW w:w="4906" w:type="dxa"/>
                  <w:vAlign w:val="center"/>
                </w:tcPr>
                <w:p>
                  <w:pPr>
                    <w:widowControl/>
                    <w:spacing w:line="264" w:lineRule="auto"/>
                    <w:jc w:val="left"/>
                    <w:rPr>
                      <w:color w:val="auto"/>
                      <w:szCs w:val="21"/>
                    </w:rPr>
                  </w:pPr>
                  <w:r>
                    <w:rPr>
                      <w:color w:val="auto"/>
                      <w:kern w:val="0"/>
                      <w:szCs w:val="21"/>
                    </w:rPr>
                    <w:t>开发区成为常熟市主要工业集聚区之一，现已形成纺织、电子信息、机械装备制造等主导产业，并逐步向高端先进装备制造、汽车零部件等高新产业发展。《规划》确定先高端装备制造业为主导产业，重点发展汽车及零部件、精密机械，其中汽车及零部件为核心。高端电子信息为支撑，重点发展高性能集成电路、下一代通信网络物联网和云计算，其中高性能集成电路为核心，细分领域包括IC设计、终端产品外围设备、芯片封装测试设备等。同时积极延伸战略性新兴产业区，发展新能源、新材料、节能环保、智慧物联等产业。规划产业定位总体合理。</w:t>
                  </w:r>
                </w:p>
              </w:tc>
              <w:tc>
                <w:tcPr>
                  <w:tcW w:w="2212" w:type="dxa"/>
                  <w:vAlign w:val="center"/>
                </w:tcPr>
                <w:p>
                  <w:pPr>
                    <w:pStyle w:val="13"/>
                    <w:snapToGrid/>
                    <w:spacing w:line="264" w:lineRule="auto"/>
                    <w:jc w:val="center"/>
                    <w:rPr>
                      <w:color w:val="auto"/>
                      <w:sz w:val="21"/>
                      <w:szCs w:val="21"/>
                    </w:rPr>
                  </w:pPr>
                  <w:r>
                    <w:rPr>
                      <w:color w:val="auto"/>
                      <w:sz w:val="21"/>
                      <w:szCs w:val="21"/>
                    </w:rPr>
                    <w:t>本项目为新建自用危险化学品专用仓库项目，属于危险化学品仓储。</w:t>
                  </w:r>
                </w:p>
              </w:tc>
              <w:tc>
                <w:tcPr>
                  <w:tcW w:w="661" w:type="dxa"/>
                  <w:vAlign w:val="center"/>
                </w:tcPr>
                <w:p>
                  <w:pPr>
                    <w:spacing w:line="264" w:lineRule="auto"/>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9" w:type="dxa"/>
                  <w:vAlign w:val="center"/>
                </w:tcPr>
                <w:p>
                  <w:pPr>
                    <w:pStyle w:val="13"/>
                    <w:snapToGrid/>
                    <w:spacing w:line="264" w:lineRule="auto"/>
                    <w:jc w:val="center"/>
                    <w:rPr>
                      <w:color w:val="auto"/>
                      <w:sz w:val="21"/>
                      <w:szCs w:val="21"/>
                    </w:rPr>
                  </w:pPr>
                  <w:r>
                    <w:rPr>
                      <w:color w:val="auto"/>
                      <w:sz w:val="21"/>
                      <w:szCs w:val="21"/>
                    </w:rPr>
                    <w:t>功能布局合理性分析</w:t>
                  </w:r>
                </w:p>
              </w:tc>
              <w:tc>
                <w:tcPr>
                  <w:tcW w:w="4906" w:type="dxa"/>
                  <w:vAlign w:val="center"/>
                </w:tcPr>
                <w:p>
                  <w:pPr>
                    <w:widowControl/>
                    <w:spacing w:line="264" w:lineRule="auto"/>
                    <w:jc w:val="left"/>
                    <w:rPr>
                      <w:color w:val="auto"/>
                      <w:szCs w:val="21"/>
                    </w:rPr>
                  </w:pPr>
                  <w:r>
                    <w:rPr>
                      <w:color w:val="auto"/>
                      <w:kern w:val="0"/>
                      <w:szCs w:val="21"/>
                    </w:rPr>
                    <w:t>从禁建区、限建区划定而言，本次规划中的禁建区和限建区包括了开发区范围内的大部分重要生态敏感区，对于各类禁建区和限建区分别提出了相应管制要求，尽量避免工业污染和生态破坏等对重要生态敏感区产生不利影响。从空间结构与产业布局而言，本次规划在现有总体格局基础上根据区位交通、自然资源分布等，将整个开发区二产重点布局在黄山路以东区域，形成四大产业集中区，汽车零部件产业集中区、电子信息产业集中区、纺织产业集中区、高端制造装备业集中区。第三产业重点布局在大学科技园和环湖区域，形成“一核、一带、一环”的布局。第一产业的发展空间非常有限，主要分布于昆承湖南岸、沙家浜镇区西侧，未来以现代休闲农业、科技农业为主如植物工厂、花鸟园等。同时依据现有产业基地分布，对不同产业园区提出了相应发展方向，有利于产业组群式集聚发展、污染物集中控制，有利于构建和谐人居环境，符合开发区总体发展定位，开发区空间结构与产业布局总体合理。</w:t>
                  </w:r>
                </w:p>
              </w:tc>
              <w:tc>
                <w:tcPr>
                  <w:tcW w:w="2212" w:type="dxa"/>
                  <w:vAlign w:val="center"/>
                </w:tcPr>
                <w:p>
                  <w:pPr>
                    <w:widowControl/>
                    <w:jc w:val="center"/>
                    <w:rPr>
                      <w:color w:val="auto"/>
                      <w:szCs w:val="21"/>
                    </w:rPr>
                  </w:pPr>
                  <w:r>
                    <w:rPr>
                      <w:color w:val="auto"/>
                      <w:kern w:val="0"/>
                      <w:szCs w:val="21"/>
                    </w:rPr>
                    <w:t>本项目位于常熟市东南街道庐山路68号，根据附件5不动产权证可知，用地性质属于工业用地。</w:t>
                  </w:r>
                </w:p>
              </w:tc>
              <w:tc>
                <w:tcPr>
                  <w:tcW w:w="661" w:type="dxa"/>
                  <w:vAlign w:val="center"/>
                </w:tcPr>
                <w:p>
                  <w:pPr>
                    <w:spacing w:line="264" w:lineRule="auto"/>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9" w:type="dxa"/>
                  <w:vAlign w:val="center"/>
                </w:tcPr>
                <w:p>
                  <w:pPr>
                    <w:pStyle w:val="13"/>
                    <w:snapToGrid/>
                    <w:spacing w:line="264" w:lineRule="auto"/>
                    <w:jc w:val="center"/>
                    <w:rPr>
                      <w:color w:val="auto"/>
                      <w:sz w:val="21"/>
                      <w:szCs w:val="21"/>
                    </w:rPr>
                  </w:pPr>
                  <w:r>
                    <w:rPr>
                      <w:color w:val="auto"/>
                      <w:sz w:val="21"/>
                      <w:szCs w:val="21"/>
                    </w:rPr>
                    <w:t>总结论</w:t>
                  </w:r>
                </w:p>
              </w:tc>
              <w:tc>
                <w:tcPr>
                  <w:tcW w:w="4906" w:type="dxa"/>
                  <w:vAlign w:val="center"/>
                </w:tcPr>
                <w:p>
                  <w:pPr>
                    <w:widowControl/>
                    <w:spacing w:line="264" w:lineRule="auto"/>
                    <w:jc w:val="left"/>
                    <w:rPr>
                      <w:color w:val="auto"/>
                      <w:szCs w:val="21"/>
                    </w:rPr>
                  </w:pPr>
                  <w:r>
                    <w:rPr>
                      <w:color w:val="auto"/>
                      <w:kern w:val="0"/>
                      <w:szCs w:val="21"/>
                    </w:rPr>
                    <w:t>在落实本规划环评提出的规划优化调整建议和环境影响减缓措施后，江苏常熟高新技术开发区总体规划与上层规划、相关生态环境保护规划以及其他规划基本协调，规划方案实施后，不会降低区域环境功能，规划的各项环保措施总体可行。根据本规划环评报告提出的优化调整建议对规划相关内容进行适当调整、严格落实本评价提出的“三线一单”管理对策以及各项环境影响减缓措施、风险防范措施后，规划方案的实施可进一步降低其所产生的不良环境影响，该规划在环境保护方面总体可行。</w:t>
                  </w:r>
                </w:p>
              </w:tc>
              <w:tc>
                <w:tcPr>
                  <w:tcW w:w="2212" w:type="dxa"/>
                  <w:vAlign w:val="center"/>
                </w:tcPr>
                <w:p>
                  <w:pPr>
                    <w:widowControl/>
                    <w:jc w:val="center"/>
                    <w:rPr>
                      <w:color w:val="auto"/>
                      <w:kern w:val="0"/>
                      <w:szCs w:val="21"/>
                    </w:rPr>
                  </w:pPr>
                  <w:r>
                    <w:rPr>
                      <w:color w:val="auto"/>
                      <w:kern w:val="0"/>
                      <w:szCs w:val="21"/>
                    </w:rPr>
                    <w:t>本项目为新建自用危险化学品专用仓库项目，属于危险化学品仓储，为企业配套自用服务。无废水、废气、固废产生。</w:t>
                  </w:r>
                </w:p>
                <w:p>
                  <w:pPr>
                    <w:widowControl/>
                    <w:jc w:val="center"/>
                    <w:rPr>
                      <w:color w:val="auto"/>
                      <w:szCs w:val="21"/>
                    </w:rPr>
                  </w:pPr>
                  <w:r>
                    <w:rPr>
                      <w:color w:val="auto"/>
                      <w:kern w:val="0"/>
                      <w:szCs w:val="21"/>
                    </w:rPr>
                    <w:t>本项目距离最近的生态空间管控区域是西南</w:t>
                  </w:r>
                  <w:r>
                    <w:rPr>
                      <w:color w:val="auto"/>
                    </w:rPr>
                    <w:t>侧</w:t>
                  </w:r>
                  <w:r>
                    <w:rPr>
                      <w:color w:val="auto"/>
                      <w:kern w:val="0"/>
                      <w:szCs w:val="21"/>
                    </w:rPr>
                    <w:t>的沙家浜-昆承湖重要湿地约2.2km，符合生态红线区域保护规划的相关要求。</w:t>
                  </w:r>
                </w:p>
              </w:tc>
              <w:tc>
                <w:tcPr>
                  <w:tcW w:w="661" w:type="dxa"/>
                  <w:vAlign w:val="center"/>
                </w:tcPr>
                <w:p>
                  <w:pPr>
                    <w:spacing w:line="264" w:lineRule="auto"/>
                    <w:rPr>
                      <w:color w:val="auto"/>
                      <w:szCs w:val="21"/>
                    </w:rPr>
                  </w:pPr>
                  <w:r>
                    <w:rPr>
                      <w:color w:val="auto"/>
                      <w:szCs w:val="21"/>
                    </w:rPr>
                    <w:t>相符</w:t>
                  </w:r>
                </w:p>
              </w:tc>
            </w:tr>
          </w:tbl>
          <w:p>
            <w:pPr>
              <w:widowControl/>
              <w:spacing w:line="360" w:lineRule="auto"/>
              <w:jc w:val="left"/>
              <w:rPr>
                <w:b/>
                <w:bCs/>
                <w:color w:val="auto"/>
              </w:rPr>
            </w:pPr>
            <w:r>
              <w:rPr>
                <w:b/>
                <w:bCs/>
                <w:color w:val="auto"/>
                <w:kern w:val="0"/>
                <w:sz w:val="24"/>
              </w:rPr>
              <w:t>3、与开发区规划环评审查意见的相符性分析</w:t>
            </w:r>
          </w:p>
          <w:p>
            <w:pPr>
              <w:widowControl/>
              <w:jc w:val="center"/>
              <w:rPr>
                <w:b/>
                <w:bCs/>
                <w:color w:val="auto"/>
                <w:kern w:val="0"/>
                <w:sz w:val="24"/>
              </w:rPr>
            </w:pPr>
            <w:r>
              <w:rPr>
                <w:b/>
                <w:bCs/>
                <w:color w:val="auto"/>
                <w:kern w:val="0"/>
                <w:sz w:val="24"/>
              </w:rPr>
              <w:t>表1-3本项目与开发区规划环评审查意见的相符性</w:t>
            </w:r>
          </w:p>
          <w:tbl>
            <w:tblPr>
              <w:tblStyle w:val="20"/>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4036"/>
              <w:gridCol w:w="3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660" w:type="dxa"/>
                  <w:vAlign w:val="center"/>
                </w:tcPr>
                <w:p>
                  <w:pPr>
                    <w:pStyle w:val="13"/>
                    <w:snapToGrid/>
                    <w:spacing w:line="264" w:lineRule="auto"/>
                    <w:jc w:val="center"/>
                    <w:rPr>
                      <w:color w:val="auto"/>
                      <w:sz w:val="21"/>
                      <w:szCs w:val="21"/>
                    </w:rPr>
                  </w:pPr>
                  <w:r>
                    <w:rPr>
                      <w:color w:val="auto"/>
                      <w:sz w:val="21"/>
                      <w:szCs w:val="21"/>
                    </w:rPr>
                    <w:t>序号</w:t>
                  </w:r>
                </w:p>
              </w:tc>
              <w:tc>
                <w:tcPr>
                  <w:tcW w:w="4036" w:type="dxa"/>
                  <w:vAlign w:val="center"/>
                </w:tcPr>
                <w:p>
                  <w:pPr>
                    <w:pStyle w:val="13"/>
                    <w:snapToGrid/>
                    <w:spacing w:line="264" w:lineRule="auto"/>
                    <w:jc w:val="center"/>
                    <w:rPr>
                      <w:color w:val="auto"/>
                      <w:sz w:val="21"/>
                      <w:szCs w:val="21"/>
                    </w:rPr>
                  </w:pPr>
                  <w:r>
                    <w:rPr>
                      <w:color w:val="auto"/>
                      <w:sz w:val="21"/>
                      <w:szCs w:val="21"/>
                    </w:rPr>
                    <w:t>审查意见</w:t>
                  </w:r>
                </w:p>
              </w:tc>
              <w:tc>
                <w:tcPr>
                  <w:tcW w:w="3743" w:type="dxa"/>
                  <w:vAlign w:val="center"/>
                </w:tcPr>
                <w:p>
                  <w:pPr>
                    <w:pStyle w:val="13"/>
                    <w:snapToGrid/>
                    <w:spacing w:line="264" w:lineRule="auto"/>
                    <w:jc w:val="center"/>
                    <w:rPr>
                      <w:color w:val="auto"/>
                      <w:sz w:val="21"/>
                      <w:szCs w:val="21"/>
                    </w:rPr>
                  </w:pPr>
                  <w:r>
                    <w:rPr>
                      <w:color w:val="auto"/>
                      <w:sz w:val="21"/>
                      <w:szCs w:val="21"/>
                    </w:rPr>
                    <w:t>本项目相符性分析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jc w:val="center"/>
              </w:trPr>
              <w:tc>
                <w:tcPr>
                  <w:tcW w:w="660" w:type="dxa"/>
                  <w:vAlign w:val="center"/>
                </w:tcPr>
                <w:p>
                  <w:pPr>
                    <w:pStyle w:val="13"/>
                    <w:snapToGrid/>
                    <w:spacing w:line="264" w:lineRule="auto"/>
                    <w:jc w:val="center"/>
                    <w:rPr>
                      <w:color w:val="auto"/>
                      <w:sz w:val="21"/>
                      <w:szCs w:val="21"/>
                    </w:rPr>
                  </w:pPr>
                  <w:r>
                    <w:rPr>
                      <w:color w:val="auto"/>
                      <w:sz w:val="21"/>
                      <w:szCs w:val="21"/>
                    </w:rPr>
                    <w:t>1</w:t>
                  </w:r>
                </w:p>
              </w:tc>
              <w:tc>
                <w:tcPr>
                  <w:tcW w:w="4036" w:type="dxa"/>
                  <w:vAlign w:val="center"/>
                </w:tcPr>
                <w:p>
                  <w:pPr>
                    <w:widowControl/>
                    <w:spacing w:line="264" w:lineRule="auto"/>
                    <w:jc w:val="left"/>
                    <w:rPr>
                      <w:color w:val="auto"/>
                      <w:szCs w:val="21"/>
                    </w:rPr>
                  </w:pPr>
                  <w:r>
                    <w:rPr>
                      <w:color w:val="auto"/>
                      <w:kern w:val="0"/>
                      <w:szCs w:val="21"/>
                    </w:rPr>
                    <w:t>《规划》应坚持绿色、协调发展，落实国家、区城发展战略，突出生态优先、绿色转型、集约高效，进一步优化《规划》用地布局、发展规模、产业结构等，做好与</w:t>
                  </w:r>
                </w:p>
                <w:p>
                  <w:pPr>
                    <w:widowControl/>
                    <w:spacing w:line="264" w:lineRule="auto"/>
                    <w:jc w:val="left"/>
                    <w:rPr>
                      <w:color w:val="auto"/>
                      <w:szCs w:val="21"/>
                    </w:rPr>
                  </w:pPr>
                  <w:r>
                    <w:rPr>
                      <w:color w:val="auto"/>
                      <w:kern w:val="0"/>
                      <w:szCs w:val="21"/>
                    </w:rPr>
                    <w:t>地方省、市国空间规划和区城“三线一单”（生态保护红线、环境质量底线、资源利用上线、生态环境准入清单）的协调衔接。</w:t>
                  </w:r>
                </w:p>
              </w:tc>
              <w:tc>
                <w:tcPr>
                  <w:tcW w:w="3743" w:type="dxa"/>
                  <w:vAlign w:val="center"/>
                </w:tcPr>
                <w:p>
                  <w:pPr>
                    <w:widowControl/>
                    <w:spacing w:line="264" w:lineRule="auto"/>
                    <w:jc w:val="left"/>
                    <w:rPr>
                      <w:color w:val="auto"/>
                      <w:szCs w:val="21"/>
                    </w:rPr>
                  </w:pPr>
                  <w:r>
                    <w:rPr>
                      <w:color w:val="auto"/>
                      <w:kern w:val="0"/>
                      <w:szCs w:val="21"/>
                    </w:rPr>
                    <w:t>本项目利用现有厂区内的空地上建设一座危险化学品专用仓库，根据附件5不动产权证，用地性质为工业用地，与土地利用总体规划相协调。本项目所在地不在省生态红线区域内，距西南侧的沙家浜-昆承湖重要湿地约2.2km，符合江苏省重要生态功能保护区区域规划要求，确保了区域生态系统安全和稳定。本项目符合“三线一单”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jc w:val="center"/>
              </w:trPr>
              <w:tc>
                <w:tcPr>
                  <w:tcW w:w="660" w:type="dxa"/>
                  <w:vAlign w:val="center"/>
                </w:tcPr>
                <w:p>
                  <w:pPr>
                    <w:pStyle w:val="13"/>
                    <w:snapToGrid/>
                    <w:spacing w:line="264" w:lineRule="auto"/>
                    <w:jc w:val="center"/>
                    <w:rPr>
                      <w:color w:val="auto"/>
                      <w:sz w:val="21"/>
                      <w:szCs w:val="21"/>
                    </w:rPr>
                  </w:pPr>
                  <w:r>
                    <w:rPr>
                      <w:color w:val="auto"/>
                      <w:sz w:val="21"/>
                      <w:szCs w:val="21"/>
                    </w:rPr>
                    <w:t>2</w:t>
                  </w:r>
                </w:p>
              </w:tc>
              <w:tc>
                <w:tcPr>
                  <w:tcW w:w="4036" w:type="dxa"/>
                  <w:vAlign w:val="center"/>
                </w:tcPr>
                <w:p>
                  <w:pPr>
                    <w:widowControl/>
                    <w:spacing w:line="264" w:lineRule="auto"/>
                    <w:jc w:val="left"/>
                    <w:rPr>
                      <w:color w:val="auto"/>
                      <w:szCs w:val="21"/>
                    </w:rPr>
                  </w:pPr>
                  <w:r>
                    <w:rPr>
                      <w:color w:val="auto"/>
                      <w:kern w:val="0"/>
                      <w:szCs w:val="21"/>
                    </w:rPr>
                    <w:t>严守环境质量底线，强化污染物排放总量管控。根据国家和江苏省关于大气、水、土壤污染防治相关要求和区域“三线一单”成果，制定高新区污染减排方案，落实污染物总量管控要求。采取有效措施减少主要污染物和重金属等特征污染物的排放量，确保区环境质量持续改善，实现产业发展与城市发展生态环境保护相协调。</w:t>
                  </w:r>
                </w:p>
              </w:tc>
              <w:tc>
                <w:tcPr>
                  <w:tcW w:w="3743" w:type="dxa"/>
                  <w:vAlign w:val="center"/>
                </w:tcPr>
                <w:p>
                  <w:pPr>
                    <w:widowControl/>
                    <w:jc w:val="center"/>
                    <w:rPr>
                      <w:color w:val="auto"/>
                      <w:szCs w:val="21"/>
                    </w:rPr>
                  </w:pPr>
                  <w:r>
                    <w:rPr>
                      <w:color w:val="auto"/>
                      <w:kern w:val="0"/>
                      <w:szCs w:val="21"/>
                    </w:rPr>
                    <w:t>本项目为新建自用危险化学品专用仓库项目，属于危险化学品仓储，为企业配套自用服务，无废气、废水产生。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3" w:hRule="atLeast"/>
                <w:jc w:val="center"/>
              </w:trPr>
              <w:tc>
                <w:tcPr>
                  <w:tcW w:w="660" w:type="dxa"/>
                  <w:vAlign w:val="center"/>
                </w:tcPr>
                <w:p>
                  <w:pPr>
                    <w:pStyle w:val="13"/>
                    <w:snapToGrid/>
                    <w:spacing w:line="264" w:lineRule="auto"/>
                    <w:jc w:val="center"/>
                    <w:rPr>
                      <w:color w:val="auto"/>
                      <w:sz w:val="21"/>
                      <w:szCs w:val="21"/>
                    </w:rPr>
                  </w:pPr>
                  <w:r>
                    <w:rPr>
                      <w:color w:val="auto"/>
                      <w:sz w:val="21"/>
                      <w:szCs w:val="21"/>
                    </w:rPr>
                    <w:t>3</w:t>
                  </w:r>
                </w:p>
              </w:tc>
              <w:tc>
                <w:tcPr>
                  <w:tcW w:w="4036" w:type="dxa"/>
                  <w:vAlign w:val="center"/>
                </w:tcPr>
                <w:p>
                  <w:pPr>
                    <w:widowControl/>
                    <w:spacing w:line="264" w:lineRule="auto"/>
                    <w:jc w:val="left"/>
                    <w:rPr>
                      <w:color w:val="auto"/>
                      <w:szCs w:val="21"/>
                    </w:rPr>
                  </w:pPr>
                  <w:r>
                    <w:rPr>
                      <w:color w:val="auto"/>
                      <w:kern w:val="0"/>
                      <w:szCs w:val="21"/>
                    </w:rPr>
                    <w:t>严格入区项目生态环境准入，推动高质量发展。强化入区企业特征污染物排放控制、高效治理设施建设以及精细化管控要求。禁止新增与主导产业不相关且污染物排放量大的项目入区，执行最严格的行业废水、废气排放控制标准，引进项目的生产工艺、设备，以及单位产品能耗、污染物排放和资源利用效率等均需达到同行业国际先进水平。</w:t>
                  </w:r>
                </w:p>
              </w:tc>
              <w:tc>
                <w:tcPr>
                  <w:tcW w:w="3743" w:type="dxa"/>
                  <w:vAlign w:val="center"/>
                </w:tcPr>
                <w:p>
                  <w:pPr>
                    <w:widowControl/>
                    <w:spacing w:line="264" w:lineRule="auto"/>
                    <w:jc w:val="left"/>
                    <w:rPr>
                      <w:color w:val="auto"/>
                      <w:szCs w:val="21"/>
                    </w:rPr>
                  </w:pPr>
                  <w:r>
                    <w:rPr>
                      <w:color w:val="auto"/>
                      <w:kern w:val="0"/>
                      <w:szCs w:val="21"/>
                    </w:rPr>
                    <w:t>本项目不属于园区企业负面清单限制、禁止发展项目，不在园区划定的环境准入负面清单范围内，与环境准入负面清单相符，符合园区规划。本项目为新建自用危险化学品专用仓库项目，属于危险化学品仓储，为企业配套自用服务，无废气、废水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660" w:type="dxa"/>
                  <w:vAlign w:val="center"/>
                </w:tcPr>
                <w:p>
                  <w:pPr>
                    <w:pStyle w:val="13"/>
                    <w:snapToGrid/>
                    <w:spacing w:line="264" w:lineRule="auto"/>
                    <w:jc w:val="center"/>
                    <w:rPr>
                      <w:color w:val="auto"/>
                      <w:sz w:val="21"/>
                      <w:szCs w:val="21"/>
                    </w:rPr>
                  </w:pPr>
                  <w:r>
                    <w:rPr>
                      <w:color w:val="auto"/>
                      <w:sz w:val="21"/>
                      <w:szCs w:val="21"/>
                    </w:rPr>
                    <w:t>4</w:t>
                  </w:r>
                </w:p>
              </w:tc>
              <w:tc>
                <w:tcPr>
                  <w:tcW w:w="4036" w:type="dxa"/>
                  <w:vAlign w:val="center"/>
                </w:tcPr>
                <w:p>
                  <w:pPr>
                    <w:widowControl/>
                    <w:spacing w:line="264" w:lineRule="auto"/>
                    <w:jc w:val="left"/>
                    <w:rPr>
                      <w:color w:val="auto"/>
                      <w:szCs w:val="21"/>
                    </w:rPr>
                  </w:pPr>
                  <w:r>
                    <w:rPr>
                      <w:color w:val="auto"/>
                      <w:kern w:val="0"/>
                      <w:szCs w:val="21"/>
                    </w:rPr>
                    <w:t>完善高新区环境基础设施建设，推进区域环境质量持续改善和提升。强化区城大气污染治理，加强恶臭污染物、挥发性有机物污染治理。加快推进污水处理厂及污水管网建设，提升区域再生水回用率。固体废物、危险废物应依法依规收集、处理处置。</w:t>
                  </w:r>
                </w:p>
              </w:tc>
              <w:tc>
                <w:tcPr>
                  <w:tcW w:w="3743" w:type="dxa"/>
                  <w:vAlign w:val="center"/>
                </w:tcPr>
                <w:p>
                  <w:pPr>
                    <w:widowControl/>
                    <w:spacing w:line="264" w:lineRule="auto"/>
                    <w:jc w:val="left"/>
                    <w:rPr>
                      <w:color w:val="auto"/>
                      <w:szCs w:val="21"/>
                    </w:rPr>
                  </w:pPr>
                  <w:r>
                    <w:rPr>
                      <w:color w:val="auto"/>
                      <w:kern w:val="0"/>
                      <w:szCs w:val="21"/>
                    </w:rPr>
                    <w:t>本项目为新建自用危险化学品专用仓库项目，属于危险化学品仓储，为企业配套自用服务。无废气、废水、固废产生。</w:t>
                  </w:r>
                </w:p>
              </w:tc>
            </w:tr>
          </w:tbl>
          <w:p>
            <w:pPr>
              <w:widowControl/>
              <w:spacing w:beforeLines="50" w:line="360" w:lineRule="auto"/>
              <w:ind w:firstLine="480" w:firstLineChars="200"/>
              <w:jc w:val="left"/>
              <w:rPr>
                <w:color w:val="auto"/>
                <w:sz w:val="24"/>
              </w:rPr>
            </w:pPr>
            <w:r>
              <w:rPr>
                <w:color w:val="auto"/>
                <w:kern w:val="0"/>
                <w:sz w:val="24"/>
              </w:rPr>
              <w:t>本项目位于常熟市东南街道庐山路68号，根据附件5不动产权证可知，所在地块属于工业用地，选址合理，符合相关用地规划要求。本项目为新建自用危险化学品专用仓库项目，属于危险化学品仓储，为企业配套自用服务，符合常熟高新技术产业开发区规划。</w:t>
            </w:r>
          </w:p>
          <w:p>
            <w:pPr>
              <w:spacing w:line="360" w:lineRule="auto"/>
              <w:ind w:firstLine="480" w:firstLineChars="200"/>
              <w:rPr>
                <w:color w:val="auto"/>
                <w:kern w:val="0"/>
                <w:szCs w:val="21"/>
              </w:rPr>
            </w:pPr>
            <w:r>
              <w:rPr>
                <w:color w:val="auto"/>
                <w:kern w:val="0"/>
                <w:sz w:val="24"/>
              </w:rPr>
              <w:t>综上所述，本项目符合常熟高新技术产业开发区的环保规划。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71" w:hRule="atLeast"/>
          <w:jc w:val="center"/>
        </w:trPr>
        <w:tc>
          <w:tcPr>
            <w:tcW w:w="599" w:type="dxa"/>
            <w:noWrap/>
            <w:vAlign w:val="center"/>
          </w:tcPr>
          <w:p>
            <w:pPr>
              <w:autoSpaceDE w:val="0"/>
              <w:autoSpaceDN w:val="0"/>
              <w:adjustRightInd w:val="0"/>
              <w:snapToGrid w:val="0"/>
              <w:spacing w:line="360" w:lineRule="auto"/>
              <w:jc w:val="center"/>
              <w:rPr>
                <w:color w:val="auto"/>
                <w:sz w:val="24"/>
              </w:rPr>
            </w:pPr>
            <w:r>
              <w:rPr>
                <w:color w:val="auto"/>
                <w:kern w:val="0"/>
                <w:sz w:val="24"/>
              </w:rPr>
              <w:t>其他符合性分析</w:t>
            </w:r>
          </w:p>
        </w:tc>
        <w:tc>
          <w:tcPr>
            <w:tcW w:w="8549" w:type="dxa"/>
            <w:noWrap/>
            <w:vAlign w:val="center"/>
          </w:tcPr>
          <w:p>
            <w:pPr>
              <w:pStyle w:val="46"/>
              <w:spacing w:beforeLines="50" w:after="0" w:line="360" w:lineRule="auto"/>
              <w:ind w:left="0" w:leftChars="0"/>
              <w:jc w:val="both"/>
              <w:rPr>
                <w:rFonts w:ascii="Times New Roman" w:hAnsi="Times New Roman" w:cs="Times New Roman"/>
                <w:b/>
                <w:bCs/>
                <w:color w:val="auto"/>
                <w:szCs w:val="24"/>
              </w:rPr>
            </w:pPr>
            <w:r>
              <w:rPr>
                <w:rFonts w:ascii="Times New Roman" w:hAnsi="Times New Roman" w:cs="Times New Roman"/>
                <w:b/>
                <w:bCs/>
                <w:color w:val="auto"/>
                <w:szCs w:val="24"/>
              </w:rPr>
              <w:t>1、“三线一单”相符性分析</w:t>
            </w:r>
          </w:p>
          <w:p>
            <w:pPr>
              <w:widowControl/>
              <w:spacing w:line="360" w:lineRule="auto"/>
              <w:ind w:firstLine="480" w:firstLineChars="200"/>
              <w:jc w:val="left"/>
              <w:rPr>
                <w:color w:val="auto"/>
                <w:sz w:val="24"/>
              </w:rPr>
            </w:pPr>
            <w:r>
              <w:rPr>
                <w:color w:val="auto"/>
                <w:sz w:val="24"/>
              </w:rPr>
              <w:t>（1）与生态保护红线相符性分析</w:t>
            </w:r>
          </w:p>
          <w:p>
            <w:pPr>
              <w:pStyle w:val="46"/>
              <w:adjustRightInd w:val="0"/>
              <w:snapToGrid w:val="0"/>
              <w:spacing w:after="0" w:line="360" w:lineRule="auto"/>
              <w:ind w:left="0" w:leftChars="0" w:firstLine="480" w:firstLineChars="200"/>
              <w:jc w:val="left"/>
              <w:rPr>
                <w:rFonts w:ascii="Times New Roman" w:hAnsi="Times New Roman" w:cs="Times New Roman"/>
                <w:color w:val="auto"/>
                <w:szCs w:val="24"/>
              </w:rPr>
            </w:pPr>
            <w:r>
              <w:rPr>
                <w:rFonts w:ascii="Times New Roman" w:hAnsi="Times New Roman" w:cs="Times New Roman"/>
                <w:color w:val="auto"/>
                <w:szCs w:val="24"/>
              </w:rPr>
              <w:t>根据《关于印发江苏省国家级生态保护红线规划的通知》（苏政发[2018]74号）、《省政府关于印发江苏省生态空间管控区域规划的通知》（苏政发[2020]1号）以及《江苏省自然资源厅关于常熟市生态空间管控区域调整方案的复函》（苏自然资函〔2022〕1221号）文件规定，本项目所在地周围的生态管控区域规划如下表所示。</w:t>
            </w:r>
          </w:p>
          <w:p>
            <w:pPr>
              <w:pStyle w:val="46"/>
              <w:spacing w:after="0" w:line="240" w:lineRule="auto"/>
              <w:ind w:left="0" w:leftChars="0"/>
              <w:rPr>
                <w:rFonts w:ascii="Times New Roman" w:hAnsi="Times New Roman" w:cs="Times New Roman"/>
                <w:b/>
                <w:bCs/>
                <w:color w:val="auto"/>
              </w:rPr>
            </w:pPr>
            <w:r>
              <w:rPr>
                <w:rFonts w:ascii="Times New Roman" w:hAnsi="Times New Roman" w:cs="Times New Roman"/>
                <w:b/>
                <w:bCs/>
                <w:color w:val="auto"/>
              </w:rPr>
              <w:t>表1-4常熟市生态空间保护区域一览表</w:t>
            </w:r>
          </w:p>
          <w:tbl>
            <w:tblPr>
              <w:tblStyle w:val="20"/>
              <w:tblW w:w="8224" w:type="dxa"/>
              <w:jc w:val="center"/>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3480"/>
              <w:gridCol w:w="1185"/>
              <w:gridCol w:w="990"/>
              <w:gridCol w:w="1024"/>
              <w:gridCol w:w="930"/>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15" w:type="dxa"/>
                  <w:vMerge w:val="restart"/>
                  <w:tcBorders>
                    <w:tl2br w:val="nil"/>
                    <w:tr2bl w:val="nil"/>
                  </w:tcBorders>
                  <w:noWrap/>
                  <w:vAlign w:val="center"/>
                </w:tcPr>
                <w:p>
                  <w:pPr>
                    <w:spacing w:line="264" w:lineRule="auto"/>
                    <w:jc w:val="center"/>
                    <w:rPr>
                      <w:color w:val="auto"/>
                    </w:rPr>
                  </w:pPr>
                  <w:r>
                    <w:rPr>
                      <w:color w:val="auto"/>
                    </w:rPr>
                    <w:t>序号</w:t>
                  </w:r>
                </w:p>
              </w:tc>
              <w:tc>
                <w:tcPr>
                  <w:tcW w:w="3480" w:type="dxa"/>
                  <w:vMerge w:val="restart"/>
                  <w:tcBorders>
                    <w:tl2br w:val="nil"/>
                    <w:tr2bl w:val="nil"/>
                  </w:tcBorders>
                  <w:noWrap/>
                  <w:vAlign w:val="center"/>
                </w:tcPr>
                <w:p>
                  <w:pPr>
                    <w:spacing w:line="264" w:lineRule="auto"/>
                    <w:jc w:val="center"/>
                    <w:rPr>
                      <w:color w:val="auto"/>
                    </w:rPr>
                  </w:pPr>
                  <w:r>
                    <w:rPr>
                      <w:color w:val="auto"/>
                    </w:rPr>
                    <w:t>生态空间保护区域名称</w:t>
                  </w:r>
                </w:p>
              </w:tc>
              <w:tc>
                <w:tcPr>
                  <w:tcW w:w="1185" w:type="dxa"/>
                  <w:vMerge w:val="restart"/>
                  <w:tcBorders>
                    <w:tl2br w:val="nil"/>
                    <w:tr2bl w:val="nil"/>
                  </w:tcBorders>
                  <w:noWrap/>
                  <w:vAlign w:val="center"/>
                </w:tcPr>
                <w:p>
                  <w:pPr>
                    <w:spacing w:line="264" w:lineRule="auto"/>
                    <w:jc w:val="center"/>
                    <w:rPr>
                      <w:color w:val="auto"/>
                    </w:rPr>
                  </w:pPr>
                  <w:r>
                    <w:rPr>
                      <w:color w:val="auto"/>
                    </w:rPr>
                    <w:t>主导生态功能</w:t>
                  </w:r>
                </w:p>
              </w:tc>
              <w:tc>
                <w:tcPr>
                  <w:tcW w:w="2944" w:type="dxa"/>
                  <w:gridSpan w:val="3"/>
                  <w:tcBorders>
                    <w:tl2br w:val="nil"/>
                    <w:tr2bl w:val="nil"/>
                  </w:tcBorders>
                  <w:noWrap/>
                  <w:vAlign w:val="center"/>
                </w:tcPr>
                <w:p>
                  <w:pPr>
                    <w:spacing w:line="264" w:lineRule="auto"/>
                    <w:jc w:val="center"/>
                    <w:rPr>
                      <w:color w:val="auto"/>
                    </w:rPr>
                  </w:pPr>
                  <w:r>
                    <w:rPr>
                      <w:color w:val="auto"/>
                    </w:rPr>
                    <w:t>面积（平方公里）</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15" w:type="dxa"/>
                  <w:vMerge w:val="continue"/>
                  <w:tcBorders>
                    <w:tl2br w:val="nil"/>
                    <w:tr2bl w:val="nil"/>
                  </w:tcBorders>
                  <w:noWrap/>
                  <w:vAlign w:val="center"/>
                </w:tcPr>
                <w:p>
                  <w:pPr>
                    <w:spacing w:line="264" w:lineRule="auto"/>
                    <w:jc w:val="center"/>
                    <w:rPr>
                      <w:color w:val="auto"/>
                    </w:rPr>
                  </w:pPr>
                </w:p>
              </w:tc>
              <w:tc>
                <w:tcPr>
                  <w:tcW w:w="3480" w:type="dxa"/>
                  <w:vMerge w:val="continue"/>
                  <w:tcBorders>
                    <w:tl2br w:val="nil"/>
                    <w:tr2bl w:val="nil"/>
                  </w:tcBorders>
                  <w:noWrap/>
                  <w:vAlign w:val="center"/>
                </w:tcPr>
                <w:p>
                  <w:pPr>
                    <w:spacing w:line="264" w:lineRule="auto"/>
                    <w:jc w:val="center"/>
                    <w:rPr>
                      <w:color w:val="auto"/>
                    </w:rPr>
                  </w:pPr>
                </w:p>
              </w:tc>
              <w:tc>
                <w:tcPr>
                  <w:tcW w:w="1185" w:type="dxa"/>
                  <w:vMerge w:val="continue"/>
                  <w:tcBorders>
                    <w:tl2br w:val="nil"/>
                    <w:tr2bl w:val="nil"/>
                  </w:tcBorders>
                  <w:noWrap/>
                  <w:vAlign w:val="center"/>
                </w:tcPr>
                <w:p>
                  <w:pPr>
                    <w:spacing w:line="264" w:lineRule="auto"/>
                    <w:jc w:val="center"/>
                    <w:rPr>
                      <w:color w:val="auto"/>
                    </w:rPr>
                  </w:pPr>
                </w:p>
              </w:tc>
              <w:tc>
                <w:tcPr>
                  <w:tcW w:w="990" w:type="dxa"/>
                  <w:tcBorders>
                    <w:tl2br w:val="nil"/>
                    <w:tr2bl w:val="nil"/>
                  </w:tcBorders>
                  <w:noWrap/>
                  <w:vAlign w:val="center"/>
                </w:tcPr>
                <w:p>
                  <w:pPr>
                    <w:spacing w:line="264" w:lineRule="auto"/>
                    <w:jc w:val="center"/>
                    <w:rPr>
                      <w:color w:val="auto"/>
                    </w:rPr>
                  </w:pPr>
                  <w:r>
                    <w:rPr>
                      <w:color w:val="auto"/>
                    </w:rPr>
                    <w:t>国家级生态保护红线</w:t>
                  </w:r>
                </w:p>
              </w:tc>
              <w:tc>
                <w:tcPr>
                  <w:tcW w:w="1024" w:type="dxa"/>
                  <w:tcBorders>
                    <w:tl2br w:val="nil"/>
                    <w:tr2bl w:val="nil"/>
                  </w:tcBorders>
                  <w:noWrap/>
                  <w:vAlign w:val="center"/>
                </w:tcPr>
                <w:p>
                  <w:pPr>
                    <w:spacing w:line="264" w:lineRule="auto"/>
                    <w:jc w:val="center"/>
                    <w:rPr>
                      <w:color w:val="auto"/>
                    </w:rPr>
                  </w:pPr>
                  <w:r>
                    <w:rPr>
                      <w:color w:val="auto"/>
                    </w:rPr>
                    <w:t>生态空间管控区域</w:t>
                  </w:r>
                </w:p>
              </w:tc>
              <w:tc>
                <w:tcPr>
                  <w:tcW w:w="930" w:type="dxa"/>
                  <w:tcBorders>
                    <w:tl2br w:val="nil"/>
                    <w:tr2bl w:val="nil"/>
                  </w:tcBorders>
                  <w:noWrap/>
                  <w:vAlign w:val="center"/>
                </w:tcPr>
                <w:p>
                  <w:pPr>
                    <w:spacing w:line="264" w:lineRule="auto"/>
                    <w:jc w:val="center"/>
                    <w:rPr>
                      <w:color w:val="auto"/>
                    </w:rPr>
                  </w:pPr>
                  <w:r>
                    <w:rPr>
                      <w:color w:val="auto"/>
                    </w:rPr>
                    <w:t>总面积</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5" w:type="dxa"/>
                  <w:tcBorders>
                    <w:tl2br w:val="nil"/>
                    <w:tr2bl w:val="nil"/>
                  </w:tcBorders>
                  <w:noWrap/>
                  <w:vAlign w:val="center"/>
                </w:tcPr>
                <w:p>
                  <w:pPr>
                    <w:spacing w:line="264" w:lineRule="auto"/>
                    <w:jc w:val="center"/>
                    <w:rPr>
                      <w:color w:val="auto"/>
                    </w:rPr>
                  </w:pPr>
                  <w:r>
                    <w:rPr>
                      <w:color w:val="auto"/>
                    </w:rPr>
                    <w:t>1</w:t>
                  </w:r>
                </w:p>
              </w:tc>
              <w:tc>
                <w:tcPr>
                  <w:tcW w:w="3480" w:type="dxa"/>
                  <w:tcBorders>
                    <w:tl2br w:val="nil"/>
                    <w:tr2bl w:val="nil"/>
                  </w:tcBorders>
                  <w:noWrap/>
                  <w:vAlign w:val="center"/>
                </w:tcPr>
                <w:p>
                  <w:pPr>
                    <w:spacing w:line="264" w:lineRule="auto"/>
                    <w:jc w:val="center"/>
                    <w:rPr>
                      <w:color w:val="auto"/>
                    </w:rPr>
                  </w:pPr>
                  <w:r>
                    <w:rPr>
                      <w:color w:val="auto"/>
                    </w:rPr>
                    <w:t>沙家浜--昆承湖重要湿地</w:t>
                  </w:r>
                </w:p>
              </w:tc>
              <w:tc>
                <w:tcPr>
                  <w:tcW w:w="1185" w:type="dxa"/>
                  <w:tcBorders>
                    <w:tl2br w:val="nil"/>
                    <w:tr2bl w:val="nil"/>
                  </w:tcBorders>
                  <w:noWrap/>
                  <w:vAlign w:val="center"/>
                </w:tcPr>
                <w:p>
                  <w:pPr>
                    <w:spacing w:line="264" w:lineRule="auto"/>
                    <w:jc w:val="center"/>
                    <w:rPr>
                      <w:color w:val="auto"/>
                    </w:rPr>
                  </w:pPr>
                  <w:r>
                    <w:rPr>
                      <w:color w:val="auto"/>
                    </w:rPr>
                    <w:t>湿地生态系统保护</w:t>
                  </w:r>
                </w:p>
              </w:tc>
              <w:tc>
                <w:tcPr>
                  <w:tcW w:w="990" w:type="dxa"/>
                  <w:tcBorders>
                    <w:tl2br w:val="nil"/>
                    <w:tr2bl w:val="nil"/>
                  </w:tcBorders>
                  <w:noWrap/>
                  <w:vAlign w:val="center"/>
                </w:tcPr>
                <w:p>
                  <w:pPr>
                    <w:spacing w:line="264" w:lineRule="auto"/>
                    <w:jc w:val="center"/>
                    <w:rPr>
                      <w:color w:val="auto"/>
                    </w:rPr>
                  </w:pPr>
                  <w:r>
                    <w:rPr>
                      <w:color w:val="auto"/>
                    </w:rPr>
                    <w:t>/</w:t>
                  </w:r>
                </w:p>
              </w:tc>
              <w:tc>
                <w:tcPr>
                  <w:tcW w:w="1024" w:type="dxa"/>
                  <w:tcBorders>
                    <w:tl2br w:val="nil"/>
                    <w:tr2bl w:val="nil"/>
                  </w:tcBorders>
                  <w:noWrap/>
                  <w:vAlign w:val="center"/>
                </w:tcPr>
                <w:p>
                  <w:pPr>
                    <w:spacing w:line="264" w:lineRule="auto"/>
                    <w:jc w:val="center"/>
                    <w:rPr>
                      <w:color w:val="auto"/>
                    </w:rPr>
                  </w:pPr>
                  <w:r>
                    <w:rPr>
                      <w:color w:val="auto"/>
                    </w:rPr>
                    <w:t>52.65</w:t>
                  </w:r>
                </w:p>
              </w:tc>
              <w:tc>
                <w:tcPr>
                  <w:tcW w:w="930" w:type="dxa"/>
                  <w:tcBorders>
                    <w:tl2br w:val="nil"/>
                    <w:tr2bl w:val="nil"/>
                  </w:tcBorders>
                  <w:noWrap/>
                  <w:vAlign w:val="center"/>
                </w:tcPr>
                <w:p>
                  <w:pPr>
                    <w:spacing w:line="264" w:lineRule="auto"/>
                    <w:jc w:val="center"/>
                    <w:rPr>
                      <w:color w:val="auto"/>
                    </w:rPr>
                  </w:pPr>
                  <w:r>
                    <w:rPr>
                      <w:color w:val="auto"/>
                    </w:rPr>
                    <w:t>52.65</w:t>
                  </w:r>
                </w:p>
              </w:tc>
            </w:tr>
          </w:tbl>
          <w:p>
            <w:pPr>
              <w:spacing w:line="360" w:lineRule="auto"/>
              <w:ind w:firstLine="480" w:firstLineChars="200"/>
              <w:rPr>
                <w:color w:val="auto"/>
                <w:sz w:val="24"/>
                <w:szCs w:val="32"/>
              </w:rPr>
            </w:pPr>
            <w:r>
              <w:rPr>
                <w:color w:val="auto"/>
                <w:sz w:val="24"/>
                <w:szCs w:val="32"/>
              </w:rPr>
              <w:t>距离本项目最近的生态空间保护区域为西南侧的沙家浜—昆承湖重要湿地，最近距离2200m，项目所在地不在该红线保护区范围内，不属于限制开发区域及禁止开发区域，项目建设不占用生态空间保护区域（见附图），不会导致辖区内生态空间保护区域生态服务功能下降。因此，项目符合《关于印发江苏省国家级生态保护红线规划的通知》（苏政发[2018]74号）、《省政府关于印发江苏省生态空间管控区域规划的通知》（苏政发[2020]1号）以及《江苏省自然资源厅关于常熟市生态空间管控区域调整方案的复函》（苏自然资函〔2022〕1221号）的规定要求。</w:t>
            </w:r>
          </w:p>
          <w:p>
            <w:pPr>
              <w:spacing w:line="360" w:lineRule="auto"/>
              <w:ind w:firstLine="480" w:firstLineChars="200"/>
              <w:rPr>
                <w:color w:val="auto"/>
                <w:sz w:val="24"/>
                <w:szCs w:val="32"/>
              </w:rPr>
            </w:pPr>
            <w:r>
              <w:rPr>
                <w:color w:val="auto"/>
                <w:sz w:val="24"/>
                <w:szCs w:val="32"/>
              </w:rPr>
              <w:t>（2）环境质量底线</w:t>
            </w:r>
          </w:p>
          <w:p>
            <w:pPr>
              <w:widowControl/>
              <w:spacing w:line="360" w:lineRule="auto"/>
              <w:ind w:firstLine="480" w:firstLineChars="200"/>
              <w:jc w:val="left"/>
              <w:rPr>
                <w:color w:val="auto"/>
                <w:sz w:val="24"/>
                <w:szCs w:val="32"/>
              </w:rPr>
            </w:pPr>
            <w:r>
              <w:rPr>
                <w:color w:val="auto"/>
                <w:sz w:val="24"/>
                <w:szCs w:val="32"/>
              </w:rPr>
              <w:t>①环境空气</w:t>
            </w:r>
          </w:p>
          <w:p>
            <w:pPr>
              <w:widowControl/>
              <w:spacing w:line="360" w:lineRule="auto"/>
              <w:ind w:firstLine="480" w:firstLineChars="200"/>
              <w:jc w:val="left"/>
              <w:rPr>
                <w:color w:val="auto"/>
                <w:sz w:val="24"/>
                <w:szCs w:val="32"/>
              </w:rPr>
            </w:pPr>
            <w:r>
              <w:rPr>
                <w:color w:val="auto"/>
                <w:sz w:val="24"/>
                <w:szCs w:val="32"/>
              </w:rPr>
              <w:t>根据《2022年度常熟市生态环境状况公报》：2022年常熟市城区环境空气质量中二氧化硫、二氧化氮、可吸入颗粒物、细颗粒物、一氧化碳五项监测项目年度评价指标达到国家二级标准，臭氧年度评价指标未达到国家二级标准。根据《苏州市空气质量改善达标规划（2019-2024年）》，苏州市以“力争到2024年，苏州市PM</w:t>
            </w:r>
            <w:r>
              <w:rPr>
                <w:color w:val="auto"/>
                <w:sz w:val="24"/>
                <w:szCs w:val="32"/>
                <w:vertAlign w:val="subscript"/>
              </w:rPr>
              <w:t>2.5</w:t>
            </w:r>
            <w:r>
              <w:rPr>
                <w:color w:val="auto"/>
                <w:sz w:val="24"/>
                <w:szCs w:val="32"/>
              </w:rPr>
              <w:t>浓度达到35μg/m</w:t>
            </w:r>
            <w:r>
              <w:rPr>
                <w:color w:val="auto"/>
                <w:sz w:val="24"/>
                <w:szCs w:val="32"/>
                <w:vertAlign w:val="superscript"/>
              </w:rPr>
              <w:t>3</w:t>
            </w:r>
            <w:r>
              <w:rPr>
                <w:color w:val="auto"/>
                <w:sz w:val="24"/>
                <w:szCs w:val="32"/>
              </w:rPr>
              <w:t>左右，臭氧浓度达到拐点，除臭氧以外的主要大气污染物浓度达到国家二级标准要求，空气质量优良天数比率达到80%，2024年环境空气质量实现全面达标”为远期目标。通过调整能源结构，控制煤炭消费总量；调整产业结构，减少污染物排放；推进工业领域全行业、全要素达标排放；加强交通行业大气污染防治；严格控制扬尘污染；加强服务业和生活污染防治；推进农业污染防治；加强重污染天气应对等措施，提升大气污染防控能力。届时，常熟市大气环境质量状况可以得到持续改善。</w:t>
            </w:r>
          </w:p>
          <w:p>
            <w:pPr>
              <w:widowControl/>
              <w:spacing w:line="360" w:lineRule="auto"/>
              <w:ind w:firstLine="480" w:firstLineChars="200"/>
              <w:jc w:val="left"/>
              <w:rPr>
                <w:color w:val="auto"/>
                <w:sz w:val="24"/>
                <w:szCs w:val="32"/>
              </w:rPr>
            </w:pPr>
            <w:r>
              <w:rPr>
                <w:color w:val="auto"/>
                <w:sz w:val="24"/>
                <w:szCs w:val="32"/>
              </w:rPr>
              <w:t>②地表水</w:t>
            </w:r>
          </w:p>
          <w:p>
            <w:pPr>
              <w:widowControl/>
              <w:spacing w:line="360" w:lineRule="auto"/>
              <w:ind w:firstLine="480" w:firstLineChars="200"/>
              <w:jc w:val="left"/>
              <w:rPr>
                <w:color w:val="auto"/>
                <w:sz w:val="24"/>
                <w:szCs w:val="32"/>
              </w:rPr>
            </w:pPr>
            <w:r>
              <w:rPr>
                <w:color w:val="auto"/>
                <w:sz w:val="24"/>
                <w:szCs w:val="32"/>
              </w:rPr>
              <w:t>根据《2022年度常熟市生态环境状况公报》，2022年，常熟市地表水水质级别为良好，达到或优于Ⅲ类水质断面比例为82.0%，与上年相比上升了4.0个百分点；无劣Ⅴ类水质断面，与上年持平，主要污染指标为总磷、氨氮和五日生化需氧量。地表水平均综合污染指数为0.34，与上年相比下降了0.06，降幅为15.0%。全市地表水环境质量虽总体无明显变化，但略有好转。</w:t>
            </w:r>
          </w:p>
          <w:p>
            <w:pPr>
              <w:widowControl/>
              <w:spacing w:line="360" w:lineRule="auto"/>
              <w:ind w:firstLine="480" w:firstLineChars="200"/>
              <w:jc w:val="left"/>
              <w:rPr>
                <w:color w:val="auto"/>
                <w:sz w:val="24"/>
                <w:szCs w:val="32"/>
              </w:rPr>
            </w:pPr>
            <w:r>
              <w:rPr>
                <w:color w:val="auto"/>
                <w:sz w:val="24"/>
                <w:szCs w:val="32"/>
              </w:rPr>
              <w:t>③噪声</w:t>
            </w:r>
          </w:p>
          <w:p>
            <w:pPr>
              <w:widowControl/>
              <w:spacing w:line="360" w:lineRule="auto"/>
              <w:ind w:firstLine="480" w:firstLineChars="200"/>
              <w:jc w:val="left"/>
              <w:rPr>
                <w:color w:val="auto"/>
                <w:sz w:val="24"/>
                <w:szCs w:val="32"/>
              </w:rPr>
            </w:pPr>
            <w:r>
              <w:rPr>
                <w:color w:val="auto"/>
                <w:sz w:val="24"/>
                <w:szCs w:val="32"/>
              </w:rPr>
              <w:t>2022年常熟市道路交通噪声昼间等效声级均值为68.0分贝(A)，昼间道路交通噪声质量等级属于一级（好）。昼间等效声级均值与上年相比上升了0.6分贝(A)，道路交通噪声污染程度稳定。市区58个测点达标率为79.3%，与上年相比下降了5.8个百分点。2022年常熟市城区区域环境噪声昼间等效声级均值为52.6分贝(A)，城区昼间区域环境噪声质量等级属于二级（较好），与上年相比上升了2.7分贝</w:t>
            </w:r>
            <w:r>
              <w:rPr>
                <w:color w:val="auto"/>
                <w:sz w:val="24"/>
              </w:rPr>
              <w:t>(A)，污染程度加重。从声源结构看，城区区域噪声来源以生活噪声为主。从声源强度看，交通噪声声源强度最高，工业噪声其次，生活噪声最低。</w:t>
            </w:r>
          </w:p>
          <w:p>
            <w:pPr>
              <w:pStyle w:val="46"/>
              <w:snapToGrid w:val="0"/>
              <w:spacing w:after="0" w:line="360" w:lineRule="auto"/>
              <w:ind w:left="0" w:leftChars="0" w:firstLine="480" w:firstLineChars="200"/>
              <w:jc w:val="left"/>
              <w:rPr>
                <w:rFonts w:ascii="Times New Roman" w:hAnsi="Times New Roman" w:cs="Times New Roman"/>
                <w:color w:val="auto"/>
                <w:szCs w:val="21"/>
              </w:rPr>
            </w:pPr>
            <w:r>
              <w:rPr>
                <w:rFonts w:ascii="Times New Roman" w:hAnsi="Times New Roman" w:cs="Times New Roman"/>
                <w:color w:val="auto"/>
                <w:szCs w:val="21"/>
              </w:rPr>
              <w:t>根据本报告各章节分析表明：本项目无废气、废水、固废、噪声产生，对环境质量的影响较小。本项目的建设不触及区域的环境质量底线。</w:t>
            </w:r>
          </w:p>
          <w:p>
            <w:pPr>
              <w:autoSpaceDE w:val="0"/>
              <w:autoSpaceDN w:val="0"/>
              <w:adjustRightInd w:val="0"/>
              <w:snapToGrid w:val="0"/>
              <w:spacing w:line="360" w:lineRule="auto"/>
              <w:ind w:firstLine="480" w:firstLineChars="200"/>
              <w:rPr>
                <w:color w:val="auto"/>
                <w:sz w:val="24"/>
              </w:rPr>
            </w:pPr>
            <w:r>
              <w:rPr>
                <w:color w:val="auto"/>
                <w:sz w:val="24"/>
              </w:rPr>
              <w:t>（3）资源利用上线</w:t>
            </w:r>
          </w:p>
          <w:p>
            <w:pPr>
              <w:autoSpaceDE w:val="0"/>
              <w:autoSpaceDN w:val="0"/>
              <w:adjustRightInd w:val="0"/>
              <w:snapToGrid w:val="0"/>
              <w:spacing w:line="360" w:lineRule="auto"/>
              <w:ind w:firstLine="480" w:firstLineChars="200"/>
              <w:rPr>
                <w:color w:val="auto"/>
                <w:sz w:val="24"/>
              </w:rPr>
            </w:pPr>
            <w:r>
              <w:rPr>
                <w:color w:val="auto"/>
                <w:sz w:val="24"/>
              </w:rPr>
              <w:t>本项目所用的资源主要为水、电，用量相对较少，不属于“两高一资”型企业；项目所在地不属于资源、能源紧缺区域，符合资源利用上线要求。</w:t>
            </w:r>
          </w:p>
          <w:p>
            <w:pPr>
              <w:adjustRightInd w:val="0"/>
              <w:snapToGrid w:val="0"/>
              <w:spacing w:line="360" w:lineRule="auto"/>
              <w:ind w:firstLine="480" w:firstLineChars="200"/>
              <w:rPr>
                <w:color w:val="auto"/>
                <w:sz w:val="24"/>
              </w:rPr>
            </w:pPr>
            <w:r>
              <w:rPr>
                <w:color w:val="auto"/>
                <w:sz w:val="24"/>
              </w:rPr>
              <w:t>（4）生态环境准入负面清单</w:t>
            </w:r>
          </w:p>
          <w:p>
            <w:pPr>
              <w:pStyle w:val="2"/>
              <w:ind w:firstLine="480" w:firstLineChars="200"/>
              <w:rPr>
                <w:rFonts w:ascii="Times New Roman" w:hAnsi="Times New Roman"/>
                <w:color w:val="auto"/>
                <w:kern w:val="0"/>
                <w:sz w:val="24"/>
                <w:szCs w:val="24"/>
              </w:rPr>
            </w:pPr>
            <w:r>
              <w:rPr>
                <w:rFonts w:ascii="Times New Roman" w:hAnsi="Times New Roman"/>
                <w:color w:val="auto"/>
                <w:kern w:val="0"/>
                <w:sz w:val="24"/>
                <w:szCs w:val="24"/>
              </w:rPr>
              <w:t>a.长江经济带发展负面清单</w:t>
            </w:r>
          </w:p>
          <w:p>
            <w:pPr>
              <w:pStyle w:val="2"/>
              <w:ind w:firstLine="480" w:firstLineChars="200"/>
              <w:rPr>
                <w:rFonts w:ascii="Times New Roman" w:hAnsi="Times New Roman"/>
                <w:bCs w:val="0"/>
                <w:color w:val="auto"/>
                <w:sz w:val="24"/>
                <w:szCs w:val="24"/>
              </w:rPr>
            </w:pPr>
            <w:r>
              <w:rPr>
                <w:rFonts w:ascii="Times New Roman" w:hAnsi="Times New Roman"/>
                <w:bCs w:val="0"/>
                <w:color w:val="auto"/>
                <w:sz w:val="24"/>
                <w:szCs w:val="24"/>
              </w:rPr>
              <w:t>对照《长江经济带发展负面清单指南（试行，2022年版）》中的要求，本项目符合《长江经济带发展负面清单指南（试行，2022年版）》中的管控要求。具体管控要求及对照分析见下表。具体对照分析见表1-5。</w:t>
            </w:r>
          </w:p>
          <w:p>
            <w:pPr>
              <w:jc w:val="center"/>
              <w:rPr>
                <w:b/>
                <w:bCs/>
                <w:color w:val="auto"/>
                <w:sz w:val="24"/>
              </w:rPr>
            </w:pPr>
            <w:r>
              <w:rPr>
                <w:b/>
                <w:bCs/>
                <w:color w:val="auto"/>
                <w:sz w:val="24"/>
              </w:rPr>
              <w:t>表1-5与《长江经济带发展负面清单指南》相符性分析</w:t>
            </w:r>
          </w:p>
          <w:tbl>
            <w:tblPr>
              <w:tblStyle w:val="20"/>
              <w:tblW w:w="84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3984"/>
              <w:gridCol w:w="2666"/>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4440" w:type="dxa"/>
                  <w:gridSpan w:val="2"/>
                  <w:vAlign w:val="center"/>
                </w:tcPr>
                <w:p>
                  <w:pPr>
                    <w:pStyle w:val="46"/>
                    <w:snapToGrid w:val="0"/>
                    <w:spacing w:line="360" w:lineRule="exact"/>
                    <w:ind w:left="0" w:leftChars="0"/>
                    <w:rPr>
                      <w:rFonts w:ascii="Times New Roman" w:hAnsi="Times New Roman" w:cs="Times New Roman"/>
                      <w:color w:val="auto"/>
                    </w:rPr>
                  </w:pPr>
                  <w:r>
                    <w:rPr>
                      <w:rFonts w:ascii="Times New Roman" w:hAnsi="Times New Roman" w:cs="Times New Roman"/>
                      <w:b/>
                      <w:bCs/>
                      <w:color w:val="auto"/>
                      <w:sz w:val="21"/>
                      <w:szCs w:val="21"/>
                    </w:rPr>
                    <w:t>文件相关内容</w:t>
                  </w:r>
                </w:p>
              </w:tc>
              <w:tc>
                <w:tcPr>
                  <w:tcW w:w="2666" w:type="dxa"/>
                  <w:vAlign w:val="center"/>
                </w:tcPr>
                <w:p>
                  <w:pPr>
                    <w:pStyle w:val="46"/>
                    <w:snapToGrid w:val="0"/>
                    <w:spacing w:line="360" w:lineRule="exact"/>
                    <w:ind w:left="0" w:leftChars="0"/>
                    <w:rPr>
                      <w:rFonts w:ascii="Times New Roman" w:hAnsi="Times New Roman" w:cs="Times New Roman"/>
                      <w:color w:val="auto"/>
                    </w:rPr>
                  </w:pPr>
                  <w:r>
                    <w:rPr>
                      <w:rFonts w:ascii="Times New Roman" w:hAnsi="Times New Roman" w:cs="Times New Roman"/>
                      <w:b/>
                      <w:bCs/>
                      <w:color w:val="auto"/>
                      <w:sz w:val="21"/>
                      <w:szCs w:val="21"/>
                    </w:rPr>
                    <w:t>本项目</w:t>
                  </w:r>
                </w:p>
              </w:tc>
              <w:tc>
                <w:tcPr>
                  <w:tcW w:w="1333" w:type="dxa"/>
                  <w:vAlign w:val="center"/>
                </w:tcPr>
                <w:p>
                  <w:pPr>
                    <w:pStyle w:val="46"/>
                    <w:snapToGrid w:val="0"/>
                    <w:spacing w:line="360" w:lineRule="exact"/>
                    <w:ind w:left="0" w:leftChars="0"/>
                    <w:rPr>
                      <w:rFonts w:ascii="Times New Roman" w:hAnsi="Times New Roman" w:cs="Times New Roman"/>
                      <w:color w:val="auto"/>
                    </w:rPr>
                  </w:pPr>
                  <w:r>
                    <w:rPr>
                      <w:rFonts w:ascii="Times New Roman" w:hAnsi="Times New Roman" w:cs="Times New Roman"/>
                      <w:b/>
                      <w:bCs/>
                      <w:color w:val="auto"/>
                      <w:sz w:val="21"/>
                      <w:szCs w:val="21"/>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rPr>
                  </w:pPr>
                  <w:r>
                    <w:rPr>
                      <w:color w:val="auto"/>
                      <w:szCs w:val="21"/>
                    </w:rPr>
                    <w:t>1</w:t>
                  </w:r>
                </w:p>
              </w:tc>
              <w:tc>
                <w:tcPr>
                  <w:tcW w:w="3984" w:type="dxa"/>
                  <w:vAlign w:val="center"/>
                </w:tcPr>
                <w:p>
                  <w:pPr>
                    <w:spacing w:line="360" w:lineRule="exact"/>
                    <w:jc w:val="center"/>
                    <w:rPr>
                      <w:color w:val="auto"/>
                    </w:rPr>
                  </w:pPr>
                  <w:r>
                    <w:rPr>
                      <w:color w:val="auto"/>
                      <w:szCs w:val="21"/>
                    </w:rPr>
                    <w:t>禁止建设不符合全国和省级港口布局规划以及港口总体规划的码头项目，禁止建设不符合《长江干线过江通道布局规划》的过长江通道项目。</w:t>
                  </w:r>
                </w:p>
              </w:tc>
              <w:tc>
                <w:tcPr>
                  <w:tcW w:w="2666" w:type="dxa"/>
                  <w:vAlign w:val="center"/>
                </w:tcPr>
                <w:p>
                  <w:pPr>
                    <w:spacing w:line="360" w:lineRule="exact"/>
                    <w:jc w:val="center"/>
                    <w:rPr>
                      <w:color w:val="auto"/>
                    </w:rPr>
                  </w:pPr>
                  <w:r>
                    <w:rPr>
                      <w:color w:val="auto"/>
                      <w:szCs w:val="21"/>
                    </w:rPr>
                    <w:t>本项目不属于码头项目，也不属于过长江通道项目</w:t>
                  </w:r>
                </w:p>
              </w:tc>
              <w:tc>
                <w:tcPr>
                  <w:tcW w:w="1333" w:type="dxa"/>
                  <w:vAlign w:val="center"/>
                </w:tcPr>
                <w:p>
                  <w:pPr>
                    <w:spacing w:line="360" w:lineRule="exact"/>
                    <w:jc w:val="center"/>
                    <w:rPr>
                      <w:color w:val="auto"/>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rPr>
                  </w:pPr>
                  <w:r>
                    <w:rPr>
                      <w:color w:val="auto"/>
                      <w:szCs w:val="21"/>
                    </w:rPr>
                    <w:t>2</w:t>
                  </w:r>
                </w:p>
              </w:tc>
              <w:tc>
                <w:tcPr>
                  <w:tcW w:w="3984" w:type="dxa"/>
                  <w:vAlign w:val="center"/>
                </w:tcPr>
                <w:p>
                  <w:pPr>
                    <w:spacing w:line="360" w:lineRule="exact"/>
                    <w:jc w:val="center"/>
                    <w:rPr>
                      <w:color w:val="auto"/>
                    </w:rPr>
                  </w:pPr>
                  <w:r>
                    <w:rPr>
                      <w:color w:val="auto"/>
                      <w:szCs w:val="21"/>
                    </w:rPr>
                    <w:t>禁止在自然保护区核心区、缓冲区的岸线和河段范围内投资建设旅游和生产经营项目。禁止在风景名胜区核心景区的岸线和河段范围内投资建设与风景名胜资源保护无关的项目。</w:t>
                  </w:r>
                </w:p>
              </w:tc>
              <w:tc>
                <w:tcPr>
                  <w:tcW w:w="2666" w:type="dxa"/>
                  <w:vAlign w:val="center"/>
                </w:tcPr>
                <w:p>
                  <w:pPr>
                    <w:spacing w:line="360" w:lineRule="exact"/>
                    <w:jc w:val="center"/>
                    <w:rPr>
                      <w:color w:val="auto"/>
                    </w:rPr>
                  </w:pPr>
                  <w:r>
                    <w:rPr>
                      <w:color w:val="auto"/>
                      <w:szCs w:val="21"/>
                    </w:rPr>
                    <w:t>本项目不在自然保护区核心区、缓冲区的岸线和河段范围内，不在风景名胜区核心景区的岸线和河段范围内。</w:t>
                  </w:r>
                </w:p>
              </w:tc>
              <w:tc>
                <w:tcPr>
                  <w:tcW w:w="1333" w:type="dxa"/>
                  <w:vAlign w:val="center"/>
                </w:tcPr>
                <w:p>
                  <w:pPr>
                    <w:spacing w:line="360" w:lineRule="exact"/>
                    <w:jc w:val="center"/>
                    <w:rPr>
                      <w:color w:val="auto"/>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rPr>
                  </w:pPr>
                  <w:r>
                    <w:rPr>
                      <w:color w:val="auto"/>
                      <w:szCs w:val="21"/>
                    </w:rPr>
                    <w:t>3</w:t>
                  </w:r>
                </w:p>
              </w:tc>
              <w:tc>
                <w:tcPr>
                  <w:tcW w:w="3984" w:type="dxa"/>
                  <w:vAlign w:val="center"/>
                </w:tcPr>
                <w:p>
                  <w:pPr>
                    <w:spacing w:line="360" w:lineRule="exact"/>
                    <w:jc w:val="center"/>
                    <w:rPr>
                      <w:color w:val="auto"/>
                    </w:rPr>
                  </w:pPr>
                  <w:r>
                    <w:rPr>
                      <w:color w:val="auto"/>
                      <w:szCs w:val="21"/>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2666" w:type="dxa"/>
                  <w:vAlign w:val="center"/>
                </w:tcPr>
                <w:p>
                  <w:pPr>
                    <w:spacing w:line="360" w:lineRule="exact"/>
                    <w:jc w:val="center"/>
                    <w:rPr>
                      <w:color w:val="auto"/>
                    </w:rPr>
                  </w:pPr>
                  <w:r>
                    <w:rPr>
                      <w:color w:val="auto"/>
                      <w:szCs w:val="21"/>
                    </w:rPr>
                    <w:t>本项目不在饮用水水源一级保护区和二级保护区的岸线和河段范围内</w:t>
                  </w:r>
                </w:p>
              </w:tc>
              <w:tc>
                <w:tcPr>
                  <w:tcW w:w="1333" w:type="dxa"/>
                  <w:vAlign w:val="center"/>
                </w:tcPr>
                <w:p>
                  <w:pPr>
                    <w:spacing w:line="360" w:lineRule="exact"/>
                    <w:jc w:val="center"/>
                    <w:rPr>
                      <w:color w:val="auto"/>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rPr>
                  </w:pPr>
                  <w:r>
                    <w:rPr>
                      <w:color w:val="auto"/>
                      <w:szCs w:val="21"/>
                    </w:rPr>
                    <w:t>4</w:t>
                  </w:r>
                </w:p>
              </w:tc>
              <w:tc>
                <w:tcPr>
                  <w:tcW w:w="3984" w:type="dxa"/>
                  <w:vAlign w:val="center"/>
                </w:tcPr>
                <w:p>
                  <w:pPr>
                    <w:spacing w:line="360" w:lineRule="exact"/>
                    <w:jc w:val="center"/>
                    <w:rPr>
                      <w:color w:val="auto"/>
                    </w:rPr>
                  </w:pPr>
                  <w:r>
                    <w:rPr>
                      <w:color w:val="auto"/>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2666" w:type="dxa"/>
                  <w:vAlign w:val="center"/>
                </w:tcPr>
                <w:p>
                  <w:pPr>
                    <w:spacing w:line="360" w:lineRule="exact"/>
                    <w:jc w:val="center"/>
                    <w:rPr>
                      <w:color w:val="auto"/>
                    </w:rPr>
                  </w:pPr>
                  <w:r>
                    <w:rPr>
                      <w:color w:val="auto"/>
                      <w:szCs w:val="21"/>
                    </w:rPr>
                    <w:t>本项目不在水产种质资源保护区的岸线和河段范围内新建排污口，未有围湖造田、围海造地或围填海，不在国家湿地公园的岸线和河段范围内。</w:t>
                  </w:r>
                </w:p>
              </w:tc>
              <w:tc>
                <w:tcPr>
                  <w:tcW w:w="1333" w:type="dxa"/>
                  <w:vAlign w:val="center"/>
                </w:tcPr>
                <w:p>
                  <w:pPr>
                    <w:spacing w:line="360" w:lineRule="exact"/>
                    <w:jc w:val="center"/>
                    <w:rPr>
                      <w:color w:val="auto"/>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rPr>
                  </w:pPr>
                  <w:r>
                    <w:rPr>
                      <w:color w:val="auto"/>
                      <w:szCs w:val="21"/>
                    </w:rPr>
                    <w:t>5</w:t>
                  </w:r>
                </w:p>
              </w:tc>
              <w:tc>
                <w:tcPr>
                  <w:tcW w:w="3984" w:type="dxa"/>
                  <w:vAlign w:val="center"/>
                </w:tcPr>
                <w:p>
                  <w:pPr>
                    <w:spacing w:line="360" w:lineRule="exact"/>
                    <w:jc w:val="center"/>
                    <w:rPr>
                      <w:color w:val="auto"/>
                    </w:rPr>
                  </w:pPr>
                  <w:r>
                    <w:rPr>
                      <w:color w:val="auto"/>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666" w:type="dxa"/>
                  <w:vAlign w:val="center"/>
                </w:tcPr>
                <w:p>
                  <w:pPr>
                    <w:spacing w:line="360" w:lineRule="exact"/>
                    <w:jc w:val="center"/>
                    <w:rPr>
                      <w:color w:val="auto"/>
                    </w:rPr>
                  </w:pPr>
                  <w:r>
                    <w:rPr>
                      <w:color w:val="auto"/>
                      <w:szCs w:val="21"/>
                    </w:rPr>
                    <w:t>本项目不在划定的岸线保护区内和岸线保留区内，不在《全国重要江河湖泊水功能区划》划定的河段保护区、保留区内。</w:t>
                  </w:r>
                </w:p>
              </w:tc>
              <w:tc>
                <w:tcPr>
                  <w:tcW w:w="1333" w:type="dxa"/>
                  <w:vAlign w:val="center"/>
                </w:tcPr>
                <w:p>
                  <w:pPr>
                    <w:spacing w:line="360" w:lineRule="exact"/>
                    <w:jc w:val="center"/>
                    <w:rPr>
                      <w:color w:val="auto"/>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rPr>
                  </w:pPr>
                  <w:r>
                    <w:rPr>
                      <w:color w:val="auto"/>
                      <w:szCs w:val="21"/>
                    </w:rPr>
                    <w:t>6</w:t>
                  </w:r>
                </w:p>
              </w:tc>
              <w:tc>
                <w:tcPr>
                  <w:tcW w:w="3984" w:type="dxa"/>
                  <w:vAlign w:val="center"/>
                </w:tcPr>
                <w:p>
                  <w:pPr>
                    <w:spacing w:line="360" w:lineRule="exact"/>
                    <w:jc w:val="center"/>
                    <w:rPr>
                      <w:color w:val="auto"/>
                    </w:rPr>
                  </w:pPr>
                  <w:r>
                    <w:rPr>
                      <w:color w:val="auto"/>
                      <w:szCs w:val="21"/>
                    </w:rPr>
                    <w:t>禁止未经许可在长江干支流及湖泊新设、改设或扩大排污口。</w:t>
                  </w:r>
                </w:p>
              </w:tc>
              <w:tc>
                <w:tcPr>
                  <w:tcW w:w="2666" w:type="dxa"/>
                  <w:vAlign w:val="center"/>
                </w:tcPr>
                <w:p>
                  <w:pPr>
                    <w:spacing w:line="360" w:lineRule="exact"/>
                    <w:jc w:val="center"/>
                    <w:rPr>
                      <w:color w:val="auto"/>
                    </w:rPr>
                  </w:pPr>
                  <w:r>
                    <w:rPr>
                      <w:color w:val="auto"/>
                      <w:szCs w:val="21"/>
                    </w:rPr>
                    <w:t>本项目不涉及在长江干支流及湖泊新设、改设或扩大排污口。</w:t>
                  </w:r>
                </w:p>
              </w:tc>
              <w:tc>
                <w:tcPr>
                  <w:tcW w:w="1333" w:type="dxa"/>
                  <w:vAlign w:val="center"/>
                </w:tcPr>
                <w:p>
                  <w:pPr>
                    <w:spacing w:line="360" w:lineRule="exact"/>
                    <w:jc w:val="center"/>
                    <w:rPr>
                      <w:color w:val="auto"/>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rPr>
                  </w:pPr>
                  <w:r>
                    <w:rPr>
                      <w:color w:val="auto"/>
                      <w:szCs w:val="21"/>
                    </w:rPr>
                    <w:t>7</w:t>
                  </w:r>
                </w:p>
              </w:tc>
              <w:tc>
                <w:tcPr>
                  <w:tcW w:w="3984" w:type="dxa"/>
                  <w:vAlign w:val="center"/>
                </w:tcPr>
                <w:p>
                  <w:pPr>
                    <w:spacing w:line="360" w:lineRule="exact"/>
                    <w:jc w:val="center"/>
                    <w:rPr>
                      <w:color w:val="auto"/>
                    </w:rPr>
                  </w:pPr>
                  <w:r>
                    <w:rPr>
                      <w:color w:val="auto"/>
                      <w:szCs w:val="21"/>
                    </w:rPr>
                    <w:t>禁止在“一江一口两湖七河”和332个水生生物保护区开展生产性捕捞。</w:t>
                  </w:r>
                </w:p>
              </w:tc>
              <w:tc>
                <w:tcPr>
                  <w:tcW w:w="2666" w:type="dxa"/>
                  <w:vAlign w:val="center"/>
                </w:tcPr>
                <w:p>
                  <w:pPr>
                    <w:spacing w:line="360" w:lineRule="exact"/>
                    <w:jc w:val="center"/>
                    <w:rPr>
                      <w:color w:val="auto"/>
                    </w:rPr>
                  </w:pPr>
                  <w:r>
                    <w:rPr>
                      <w:color w:val="auto"/>
                      <w:szCs w:val="21"/>
                    </w:rPr>
                    <w:t>本项目位于常熟市东南街道庐山路68号，用地性质为工业用地，不在生态保护红线和永久基本农田范围内。</w:t>
                  </w:r>
                </w:p>
              </w:tc>
              <w:tc>
                <w:tcPr>
                  <w:tcW w:w="1333" w:type="dxa"/>
                  <w:vAlign w:val="center"/>
                </w:tcPr>
                <w:p>
                  <w:pPr>
                    <w:spacing w:line="360" w:lineRule="exact"/>
                    <w:jc w:val="center"/>
                    <w:rPr>
                      <w:color w:val="auto"/>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szCs w:val="21"/>
                    </w:rPr>
                  </w:pPr>
                  <w:r>
                    <w:rPr>
                      <w:color w:val="auto"/>
                      <w:szCs w:val="21"/>
                    </w:rPr>
                    <w:t>8</w:t>
                  </w:r>
                </w:p>
              </w:tc>
              <w:tc>
                <w:tcPr>
                  <w:tcW w:w="3984" w:type="dxa"/>
                  <w:vAlign w:val="center"/>
                </w:tcPr>
                <w:p>
                  <w:pPr>
                    <w:spacing w:line="360" w:lineRule="exact"/>
                    <w:jc w:val="center"/>
                    <w:rPr>
                      <w:color w:val="auto"/>
                      <w:szCs w:val="21"/>
                    </w:rPr>
                  </w:pPr>
                  <w:r>
                    <w:rPr>
                      <w:color w:val="auto"/>
                      <w:szCs w:val="21"/>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666" w:type="dxa"/>
                  <w:vAlign w:val="center"/>
                </w:tcPr>
                <w:p>
                  <w:pPr>
                    <w:spacing w:line="360" w:lineRule="exact"/>
                    <w:jc w:val="center"/>
                    <w:rPr>
                      <w:color w:val="auto"/>
                      <w:szCs w:val="21"/>
                    </w:rPr>
                  </w:pPr>
                  <w:r>
                    <w:rPr>
                      <w:color w:val="auto"/>
                      <w:szCs w:val="21"/>
                    </w:rPr>
                    <w:t>本项目位于常熟市东南街道庐山路68号，不在长江干支流、重要湖泊岸线一公里范围内。</w:t>
                  </w:r>
                </w:p>
              </w:tc>
              <w:tc>
                <w:tcPr>
                  <w:tcW w:w="1333" w:type="dxa"/>
                  <w:vAlign w:val="center"/>
                </w:tcPr>
                <w:p>
                  <w:pPr>
                    <w:spacing w:line="360" w:lineRule="exact"/>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szCs w:val="21"/>
                    </w:rPr>
                  </w:pPr>
                  <w:r>
                    <w:rPr>
                      <w:color w:val="auto"/>
                      <w:szCs w:val="21"/>
                    </w:rPr>
                    <w:t>9</w:t>
                  </w:r>
                </w:p>
              </w:tc>
              <w:tc>
                <w:tcPr>
                  <w:tcW w:w="3984" w:type="dxa"/>
                  <w:vAlign w:val="center"/>
                </w:tcPr>
                <w:p>
                  <w:pPr>
                    <w:spacing w:line="360" w:lineRule="exact"/>
                    <w:jc w:val="center"/>
                    <w:rPr>
                      <w:color w:val="auto"/>
                      <w:szCs w:val="21"/>
                    </w:rPr>
                  </w:pPr>
                  <w:r>
                    <w:rPr>
                      <w:color w:val="auto"/>
                      <w:szCs w:val="21"/>
                    </w:rPr>
                    <w:t>禁止在合规园区外新建、扩建钢铁、石化、化工、焦化、建材、有色、制浆造纸等高污染项目。</w:t>
                  </w:r>
                </w:p>
              </w:tc>
              <w:tc>
                <w:tcPr>
                  <w:tcW w:w="2666" w:type="dxa"/>
                  <w:vAlign w:val="center"/>
                </w:tcPr>
                <w:p>
                  <w:pPr>
                    <w:spacing w:line="360" w:lineRule="exact"/>
                    <w:jc w:val="center"/>
                    <w:rPr>
                      <w:color w:val="auto"/>
                      <w:szCs w:val="21"/>
                    </w:rPr>
                  </w:pPr>
                  <w:r>
                    <w:rPr>
                      <w:color w:val="auto"/>
                      <w:szCs w:val="21"/>
                    </w:rPr>
                    <w:t>本项目不涉及。</w:t>
                  </w:r>
                </w:p>
              </w:tc>
              <w:tc>
                <w:tcPr>
                  <w:tcW w:w="1333" w:type="dxa"/>
                  <w:vAlign w:val="center"/>
                </w:tcPr>
                <w:p>
                  <w:pPr>
                    <w:spacing w:line="360" w:lineRule="exact"/>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szCs w:val="21"/>
                    </w:rPr>
                  </w:pPr>
                  <w:r>
                    <w:rPr>
                      <w:color w:val="auto"/>
                      <w:szCs w:val="21"/>
                    </w:rPr>
                    <w:t>10</w:t>
                  </w:r>
                </w:p>
              </w:tc>
              <w:tc>
                <w:tcPr>
                  <w:tcW w:w="3984" w:type="dxa"/>
                  <w:vAlign w:val="center"/>
                </w:tcPr>
                <w:p>
                  <w:pPr>
                    <w:spacing w:line="360" w:lineRule="exact"/>
                    <w:jc w:val="center"/>
                    <w:rPr>
                      <w:color w:val="auto"/>
                      <w:szCs w:val="21"/>
                    </w:rPr>
                  </w:pPr>
                  <w:r>
                    <w:rPr>
                      <w:color w:val="auto"/>
                      <w:szCs w:val="21"/>
                    </w:rPr>
                    <w:t>禁止新建、扩建不符合国家石化、现代煤化工等产业布局规划的项目。</w:t>
                  </w:r>
                </w:p>
              </w:tc>
              <w:tc>
                <w:tcPr>
                  <w:tcW w:w="2666" w:type="dxa"/>
                  <w:vAlign w:val="center"/>
                </w:tcPr>
                <w:p>
                  <w:pPr>
                    <w:spacing w:line="360" w:lineRule="exact"/>
                    <w:jc w:val="center"/>
                    <w:rPr>
                      <w:color w:val="auto"/>
                      <w:szCs w:val="21"/>
                    </w:rPr>
                  </w:pPr>
                  <w:r>
                    <w:rPr>
                      <w:color w:val="auto"/>
                      <w:szCs w:val="21"/>
                    </w:rPr>
                    <w:t>本项目不涉及。</w:t>
                  </w:r>
                </w:p>
              </w:tc>
              <w:tc>
                <w:tcPr>
                  <w:tcW w:w="1333" w:type="dxa"/>
                  <w:vAlign w:val="center"/>
                </w:tcPr>
                <w:p>
                  <w:pPr>
                    <w:spacing w:line="360" w:lineRule="exact"/>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szCs w:val="21"/>
                    </w:rPr>
                  </w:pPr>
                  <w:r>
                    <w:rPr>
                      <w:color w:val="auto"/>
                      <w:szCs w:val="21"/>
                    </w:rPr>
                    <w:t>11</w:t>
                  </w:r>
                </w:p>
              </w:tc>
              <w:tc>
                <w:tcPr>
                  <w:tcW w:w="3984" w:type="dxa"/>
                  <w:vAlign w:val="center"/>
                </w:tcPr>
                <w:p>
                  <w:pPr>
                    <w:spacing w:line="360" w:lineRule="exact"/>
                    <w:jc w:val="center"/>
                    <w:rPr>
                      <w:color w:val="auto"/>
                      <w:szCs w:val="21"/>
                    </w:rPr>
                  </w:pPr>
                  <w:r>
                    <w:rPr>
                      <w:color w:val="auto"/>
                      <w:szCs w:val="21"/>
                    </w:rPr>
                    <w:t>禁止新建、扩建法律法规和相关政策明令禁止的落后产能项目。禁止新建、扩建不符合国家产能置换要求的严重过剩产能行业的项目。禁止新建、扩建不符合要求的高耗能高排放项目。</w:t>
                  </w:r>
                </w:p>
              </w:tc>
              <w:tc>
                <w:tcPr>
                  <w:tcW w:w="2666" w:type="dxa"/>
                  <w:vAlign w:val="center"/>
                </w:tcPr>
                <w:p>
                  <w:pPr>
                    <w:spacing w:line="360" w:lineRule="exact"/>
                    <w:jc w:val="center"/>
                    <w:rPr>
                      <w:color w:val="auto"/>
                      <w:szCs w:val="21"/>
                    </w:rPr>
                  </w:pPr>
                  <w:r>
                    <w:rPr>
                      <w:color w:val="auto"/>
                      <w:szCs w:val="21"/>
                    </w:rPr>
                    <w:t>本项目不涉及。</w:t>
                  </w:r>
                </w:p>
              </w:tc>
              <w:tc>
                <w:tcPr>
                  <w:tcW w:w="1333" w:type="dxa"/>
                  <w:vAlign w:val="center"/>
                </w:tcPr>
                <w:p>
                  <w:pPr>
                    <w:spacing w:line="360" w:lineRule="exact"/>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pacing w:line="360" w:lineRule="exact"/>
                    <w:jc w:val="center"/>
                    <w:rPr>
                      <w:color w:val="auto"/>
                      <w:szCs w:val="21"/>
                    </w:rPr>
                  </w:pPr>
                  <w:r>
                    <w:rPr>
                      <w:color w:val="auto"/>
                      <w:szCs w:val="21"/>
                    </w:rPr>
                    <w:t>12</w:t>
                  </w:r>
                </w:p>
              </w:tc>
              <w:tc>
                <w:tcPr>
                  <w:tcW w:w="3984" w:type="dxa"/>
                  <w:vAlign w:val="center"/>
                </w:tcPr>
                <w:p>
                  <w:pPr>
                    <w:spacing w:line="360" w:lineRule="exact"/>
                    <w:jc w:val="center"/>
                    <w:rPr>
                      <w:color w:val="auto"/>
                      <w:szCs w:val="21"/>
                    </w:rPr>
                  </w:pPr>
                  <w:r>
                    <w:rPr>
                      <w:color w:val="auto"/>
                      <w:szCs w:val="21"/>
                    </w:rPr>
                    <w:t>法律法规及相关政策文件有更加严格规定的从其规定。</w:t>
                  </w:r>
                </w:p>
              </w:tc>
              <w:tc>
                <w:tcPr>
                  <w:tcW w:w="2666" w:type="dxa"/>
                  <w:vAlign w:val="center"/>
                </w:tcPr>
                <w:p>
                  <w:pPr>
                    <w:spacing w:line="360" w:lineRule="exact"/>
                    <w:jc w:val="center"/>
                    <w:rPr>
                      <w:color w:val="auto"/>
                      <w:szCs w:val="21"/>
                    </w:rPr>
                  </w:pPr>
                  <w:r>
                    <w:rPr>
                      <w:color w:val="auto"/>
                      <w:szCs w:val="21"/>
                    </w:rPr>
                    <w:t>严格执行法律法规及相关政策文件。</w:t>
                  </w:r>
                </w:p>
              </w:tc>
              <w:tc>
                <w:tcPr>
                  <w:tcW w:w="1333" w:type="dxa"/>
                  <w:vAlign w:val="center"/>
                </w:tcPr>
                <w:p>
                  <w:pPr>
                    <w:spacing w:line="360" w:lineRule="exact"/>
                    <w:jc w:val="center"/>
                    <w:rPr>
                      <w:color w:val="auto"/>
                      <w:szCs w:val="21"/>
                    </w:rPr>
                  </w:pPr>
                  <w:r>
                    <w:rPr>
                      <w:color w:val="auto"/>
                      <w:szCs w:val="21"/>
                    </w:rPr>
                    <w:t>相符</w:t>
                  </w:r>
                </w:p>
              </w:tc>
            </w:tr>
          </w:tbl>
          <w:p>
            <w:pPr>
              <w:spacing w:line="360" w:lineRule="auto"/>
              <w:ind w:firstLine="480" w:firstLineChars="200"/>
              <w:rPr>
                <w:color w:val="auto"/>
                <w:sz w:val="24"/>
              </w:rPr>
            </w:pPr>
            <w:r>
              <w:rPr>
                <w:color w:val="auto"/>
                <w:sz w:val="24"/>
              </w:rPr>
              <w:t>综上，本项目与《长江经济带发展负面清单指南（试行，2022年版）》中的要求相符。</w:t>
            </w:r>
          </w:p>
          <w:p>
            <w:pPr>
              <w:widowControl/>
              <w:adjustRightInd w:val="0"/>
              <w:snapToGrid w:val="0"/>
              <w:spacing w:line="360" w:lineRule="auto"/>
              <w:ind w:firstLine="480" w:firstLineChars="200"/>
              <w:jc w:val="left"/>
              <w:rPr>
                <w:color w:val="auto"/>
                <w:sz w:val="24"/>
              </w:rPr>
            </w:pPr>
            <w:r>
              <w:rPr>
                <w:color w:val="auto"/>
                <w:sz w:val="24"/>
              </w:rPr>
              <w:t>对照《&lt;长江经济带发展负面清单指南（试行，2022年版）&gt;江苏省实施细则》（苏长江办发[2022]55号）中的要求，本项目符合《&lt;长江经济带发展负面清单指南（试行，2022年版）&gt;江苏省实施细则》（苏长江办发[2022]55号）中的管控要求。具体管控要求及对照分析见下表：</w:t>
            </w:r>
          </w:p>
          <w:p>
            <w:pPr>
              <w:widowControl/>
              <w:adjustRightInd w:val="0"/>
              <w:snapToGrid w:val="0"/>
              <w:ind w:firstLine="482" w:firstLineChars="200"/>
              <w:jc w:val="center"/>
              <w:rPr>
                <w:b/>
                <w:bCs/>
                <w:color w:val="auto"/>
                <w:sz w:val="24"/>
              </w:rPr>
            </w:pPr>
            <w:r>
              <w:rPr>
                <w:b/>
                <w:bCs/>
                <w:color w:val="auto"/>
                <w:sz w:val="24"/>
              </w:rPr>
              <w:t>表1-6与苏长江办发[2022]55号相符性分析</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5140"/>
              <w:gridCol w:w="2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Align w:val="center"/>
                </w:tcPr>
                <w:p>
                  <w:pPr>
                    <w:pStyle w:val="46"/>
                    <w:snapToGrid w:val="0"/>
                    <w:spacing w:line="320" w:lineRule="exact"/>
                    <w:ind w:left="0" w:leftChars="0"/>
                    <w:rPr>
                      <w:rFonts w:ascii="Times New Roman" w:hAnsi="Times New Roman" w:cs="Times New Roman"/>
                      <w:b/>
                      <w:bCs/>
                      <w:color w:val="auto"/>
                      <w:sz w:val="21"/>
                      <w:szCs w:val="21"/>
                    </w:rPr>
                  </w:pPr>
                  <w:r>
                    <w:rPr>
                      <w:rFonts w:ascii="Times New Roman" w:hAnsi="Times New Roman" w:cs="Times New Roman"/>
                      <w:b/>
                      <w:bCs/>
                      <w:color w:val="auto"/>
                      <w:sz w:val="21"/>
                      <w:szCs w:val="21"/>
                    </w:rPr>
                    <w:t>项目</w:t>
                  </w:r>
                </w:p>
              </w:tc>
              <w:tc>
                <w:tcPr>
                  <w:tcW w:w="5140" w:type="dxa"/>
                  <w:vAlign w:val="center"/>
                </w:tcPr>
                <w:p>
                  <w:pPr>
                    <w:pStyle w:val="46"/>
                    <w:snapToGrid w:val="0"/>
                    <w:spacing w:line="320" w:lineRule="exact"/>
                    <w:ind w:left="0" w:leftChars="0"/>
                    <w:rPr>
                      <w:rFonts w:ascii="Times New Roman" w:hAnsi="Times New Roman" w:cs="Times New Roman"/>
                      <w:b/>
                      <w:bCs/>
                      <w:color w:val="auto"/>
                      <w:sz w:val="21"/>
                      <w:szCs w:val="21"/>
                    </w:rPr>
                  </w:pPr>
                  <w:r>
                    <w:rPr>
                      <w:rFonts w:ascii="Times New Roman" w:hAnsi="Times New Roman" w:cs="Times New Roman"/>
                      <w:b/>
                      <w:bCs/>
                      <w:color w:val="auto"/>
                      <w:sz w:val="21"/>
                      <w:szCs w:val="21"/>
                    </w:rPr>
                    <w:t>文件相关内容</w:t>
                  </w:r>
                </w:p>
              </w:tc>
              <w:tc>
                <w:tcPr>
                  <w:tcW w:w="2426" w:type="dxa"/>
                  <w:vAlign w:val="center"/>
                </w:tcPr>
                <w:p>
                  <w:pPr>
                    <w:pStyle w:val="46"/>
                    <w:snapToGrid w:val="0"/>
                    <w:spacing w:line="320" w:lineRule="exact"/>
                    <w:ind w:left="0" w:leftChars="0"/>
                    <w:rPr>
                      <w:rFonts w:ascii="Times New Roman" w:hAnsi="Times New Roman" w:cs="Times New Roman"/>
                      <w:b/>
                      <w:bCs/>
                      <w:color w:val="auto"/>
                      <w:sz w:val="21"/>
                      <w:szCs w:val="21"/>
                    </w:rPr>
                  </w:pPr>
                  <w:r>
                    <w:rPr>
                      <w:rFonts w:ascii="Times New Roman" w:hAnsi="Times New Roman" w:cs="Times New Roman"/>
                      <w:b/>
                      <w:bCs/>
                      <w:color w:val="auto"/>
                      <w:sz w:val="21"/>
                      <w:szCs w:val="21"/>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restart"/>
                  <w:vAlign w:val="center"/>
                </w:tcPr>
                <w:p>
                  <w:pPr>
                    <w:spacing w:line="320" w:lineRule="exact"/>
                    <w:jc w:val="center"/>
                    <w:rPr>
                      <w:color w:val="auto"/>
                    </w:rPr>
                  </w:pPr>
                  <w:r>
                    <w:rPr>
                      <w:color w:val="auto"/>
                      <w:szCs w:val="21"/>
                    </w:rPr>
                    <w:t>一、河段利用与岸线开发</w:t>
                  </w: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禁止建设不符合国家港口布局规划和《江苏省沿江沿海港口布局规划（2015-2030年）》《江苏省内河港口布局规划（2017-2035年）》以及我省有关港口总体规划的码头项目，禁止建设未纳入《长江干线过江通道布局规划》的过长江干线通道项目。</w:t>
                  </w:r>
                </w:p>
              </w:tc>
              <w:tc>
                <w:tcPr>
                  <w:tcW w:w="2426" w:type="dxa"/>
                  <w:vMerge w:val="restart"/>
                  <w:vAlign w:val="center"/>
                </w:tcPr>
                <w:p>
                  <w:pPr>
                    <w:widowControl/>
                    <w:kinsoku w:val="0"/>
                    <w:autoSpaceDE w:val="0"/>
                    <w:autoSpaceDN w:val="0"/>
                    <w:spacing w:line="320" w:lineRule="exact"/>
                    <w:jc w:val="center"/>
                    <w:textAlignment w:val="baseline"/>
                    <w:rPr>
                      <w:color w:val="auto"/>
                    </w:rPr>
                  </w:pPr>
                  <w:r>
                    <w:rPr>
                      <w:color w:val="auto"/>
                    </w:rPr>
                    <w:t>本项目为新建自用危险化学品专用仓库项目，在现有厂区内建设，位于常熟市东南街道庐山路68号，用地性质为工业用地，不涉及河段利用与岸线开发。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2、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3、严格执行《中华人民共和国水污染防治法》《江苏省人民代表大会常务委员会关于加强饮用水源地保护的决定》，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禁止在饮用水水源准保护区的岸线和河段范围内新建、改建、扩建对水体污染严重的投资建设项目，改建项目应当消减排污量。</w:t>
                  </w:r>
                </w:p>
              </w:tc>
              <w:tc>
                <w:tcPr>
                  <w:tcW w:w="2426" w:type="dxa"/>
                  <w:vMerge w:val="continue"/>
                  <w:vAlign w:val="center"/>
                </w:tcPr>
                <w:p>
                  <w:pPr>
                    <w:widowControl/>
                    <w:spacing w:line="320" w:lineRule="exac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4、严格执行《水产种质资源保护区管理暂行办法》，禁止在国家级和省级水产种质资源保护区的岸线和河段范围内新建围湖造田、围海造地或围填海等投资建设项目。严格执行《中华人民共和国湿地保护法》、《江苏省湿地保护条例》，禁止在国家湿地公园的岸线和河段范围内挖沙、采矿，以及任何不符合主体功能定位的投资建设项目。</w:t>
                  </w:r>
                </w:p>
              </w:tc>
              <w:tc>
                <w:tcPr>
                  <w:tcW w:w="2426" w:type="dxa"/>
                  <w:vMerge w:val="continue"/>
                  <w:vAlign w:val="center"/>
                </w:tcPr>
                <w:p>
                  <w:pPr>
                    <w:widowControl/>
                    <w:spacing w:line="320" w:lineRule="exac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5、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建设不利于水资源及自然生态保护的项目。</w:t>
                  </w:r>
                </w:p>
              </w:tc>
              <w:tc>
                <w:tcPr>
                  <w:tcW w:w="2426" w:type="dxa"/>
                  <w:vMerge w:val="continue"/>
                  <w:vAlign w:val="center"/>
                </w:tcPr>
                <w:p>
                  <w:pPr>
                    <w:widowControl/>
                    <w:spacing w:line="320" w:lineRule="exac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6、禁止未经许可在长江干支流及湖泊新设、改设或扩大排污口。</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restart"/>
                  <w:vAlign w:val="center"/>
                </w:tcPr>
                <w:p>
                  <w:pPr>
                    <w:widowControl/>
                    <w:spacing w:line="320" w:lineRule="exact"/>
                    <w:jc w:val="center"/>
                    <w:rPr>
                      <w:color w:val="auto"/>
                      <w:szCs w:val="21"/>
                    </w:rPr>
                  </w:pPr>
                  <w:r>
                    <w:rPr>
                      <w:color w:val="auto"/>
                      <w:szCs w:val="21"/>
                    </w:rPr>
                    <w:t>二、区域活动</w:t>
                  </w: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7、禁止长江千流、长江口、34个列入《率先全面禁捕的长江流域水生生物保护区名录》的水生生物保护区以及省规定的其它禁渔水域开展生产性捕捞。</w:t>
                  </w:r>
                </w:p>
              </w:tc>
              <w:tc>
                <w:tcPr>
                  <w:tcW w:w="2426" w:type="dxa"/>
                  <w:vMerge w:val="restart"/>
                  <w:vAlign w:val="center"/>
                </w:tcPr>
                <w:p>
                  <w:pPr>
                    <w:widowControl/>
                    <w:kinsoku w:val="0"/>
                    <w:autoSpaceDE w:val="0"/>
                    <w:autoSpaceDN w:val="0"/>
                    <w:spacing w:line="320" w:lineRule="exact"/>
                    <w:jc w:val="center"/>
                    <w:textAlignment w:val="baseline"/>
                    <w:rPr>
                      <w:color w:val="auto"/>
                    </w:rPr>
                  </w:pPr>
                  <w:r>
                    <w:rPr>
                      <w:color w:val="auto"/>
                    </w:rPr>
                    <w:t>本项目位于太湖流域三级保护区内，不属于《江苏省太湖水污染防治条例》禁止投资建设活动。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8、禁止在距离长江干支流岸线一公里范围内新建、扩建化工园区和化工项目。长江干支流一公里按照长江千支流岸线边界（即水利部门河道管理范围边界）向陆域纵深一公里执行。</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9、禁止在长江干流岸线三公里范围内新建、改建、扩建尾矿库、治炼渣库和磷石膏库，以提升安全、生态环境保护水平为目的的改建除外。</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10、禁止在太湖流域一、二、三级保护区内开展《江苏省太湖水污染防治条例》禁止的投资建设活动。</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11、禁止在沿江地区新建、扩建未纳入国家和省布局规划的燃煤发电项目。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12、禁止在合规园区外新建、扩建钢铁、石化、化工、焦化、建材、有色、制浆造纸等高污染项目。合规园区名录按照《〈长江经济带发展负面清单指南（试行，2022年版）&gt;江苏省实施细则合规园区名录》执行。</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13、禁止在取消化工定位的园区（集中区）内新建化工项目。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14、禁止在化工企业周边建设不符合安全距离规定的劳动密集型的非化工项目和其他人员密集的公共设施项目。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restart"/>
                  <w:vAlign w:val="center"/>
                </w:tcPr>
                <w:p>
                  <w:pPr>
                    <w:spacing w:line="320" w:lineRule="exact"/>
                    <w:jc w:val="center"/>
                    <w:rPr>
                      <w:color w:val="auto"/>
                    </w:rPr>
                  </w:pPr>
                  <w:r>
                    <w:rPr>
                      <w:color w:val="auto"/>
                      <w:szCs w:val="21"/>
                    </w:rPr>
                    <w:t>三、产业发展</w:t>
                  </w: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15、禁止新建、扩建不符合国家和省产业政策的尿素、磷铵、电石、烧碱、聚氯乙烯、纯碱等行业新增产能项目。</w:t>
                  </w:r>
                </w:p>
              </w:tc>
              <w:tc>
                <w:tcPr>
                  <w:tcW w:w="2426" w:type="dxa"/>
                  <w:vMerge w:val="restart"/>
                  <w:vAlign w:val="center"/>
                </w:tcPr>
                <w:p>
                  <w:pPr>
                    <w:widowControl/>
                    <w:kinsoku w:val="0"/>
                    <w:autoSpaceDE w:val="0"/>
                    <w:autoSpaceDN w:val="0"/>
                    <w:spacing w:line="320" w:lineRule="exact"/>
                    <w:jc w:val="center"/>
                    <w:textAlignment w:val="baseline"/>
                    <w:rPr>
                      <w:color w:val="auto"/>
                    </w:rPr>
                  </w:pPr>
                  <w:r>
                    <w:rPr>
                      <w:color w:val="auto"/>
                    </w:rPr>
                    <w:t>本项目符合国家及江苏省产业政策要求，不属于《产业结构调整指导目录》《江苏省产业结构调整限制、淘汰和禁止目录》中的淘汰类、限制类等项目。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16、禁止新建、改建、扩建高毒、高残留以及对环境影响大的农药原药（化学合成类）项目，禁止新建、扩建不符合国家和省产业政策的农药、医药和染料中间体化工项目。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17、禁止新建、扩建不符合国家石化、现代煤化工等产业布局规划的项目，禁止新建独立焦化项目。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rPr>
                  </w:pPr>
                  <w:r>
                    <w:rPr>
                      <w:color w:val="auto"/>
                      <w:szCs w:val="21"/>
                    </w:rPr>
                    <w:t>18、禁止新建、扩建国家《产业结构调整指导目录》《江苏省产业结构调整限制、淘汰和禁止目录》明确的限榭类、淘汰类禁止类项目，法律法规和相关政策明令禁止的落后产能项目，以及明令淘汰的安全生产落后工艺及装备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szCs w:val="21"/>
                    </w:rPr>
                  </w:pPr>
                  <w:r>
                    <w:rPr>
                      <w:color w:val="auto"/>
                      <w:szCs w:val="21"/>
                    </w:rPr>
                    <w:t>19、禁止新建、扩建不符合国家产能置换要求的严重过剩产能行业的项目。禁止新建、扩建不符合要求的高耗能高排放项目。</w:t>
                  </w:r>
                </w:p>
              </w:tc>
              <w:tc>
                <w:tcPr>
                  <w:tcW w:w="2426" w:type="dxa"/>
                  <w:vMerge w:val="continue"/>
                  <w:vAlign w:val="center"/>
                </w:tcPr>
                <w:p>
                  <w:pPr>
                    <w:widowControl/>
                    <w:kinsoku w:val="0"/>
                    <w:autoSpaceDE w:val="0"/>
                    <w:autoSpaceDN w:val="0"/>
                    <w:spacing w:line="320" w:lineRule="exact"/>
                    <w:jc w:val="center"/>
                    <w:textAlignment w:val="baseline"/>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73" w:type="dxa"/>
                  <w:vMerge w:val="continue"/>
                  <w:vAlign w:val="center"/>
                </w:tcPr>
                <w:p>
                  <w:pPr>
                    <w:spacing w:line="320" w:lineRule="exact"/>
                    <w:jc w:val="center"/>
                    <w:rPr>
                      <w:color w:val="auto"/>
                    </w:rPr>
                  </w:pPr>
                </w:p>
              </w:tc>
              <w:tc>
                <w:tcPr>
                  <w:tcW w:w="5140" w:type="dxa"/>
                  <w:vAlign w:val="center"/>
                </w:tcPr>
                <w:p>
                  <w:pPr>
                    <w:widowControl/>
                    <w:kinsoku w:val="0"/>
                    <w:autoSpaceDE w:val="0"/>
                    <w:autoSpaceDN w:val="0"/>
                    <w:spacing w:line="320" w:lineRule="exact"/>
                    <w:jc w:val="center"/>
                    <w:textAlignment w:val="baseline"/>
                    <w:rPr>
                      <w:color w:val="auto"/>
                      <w:szCs w:val="21"/>
                    </w:rPr>
                  </w:pPr>
                  <w:r>
                    <w:rPr>
                      <w:color w:val="auto"/>
                      <w:szCs w:val="21"/>
                    </w:rPr>
                    <w:t>20、法律法规及相关政策文件有更加严格规定的从其规定。</w:t>
                  </w:r>
                </w:p>
              </w:tc>
              <w:tc>
                <w:tcPr>
                  <w:tcW w:w="2426" w:type="dxa"/>
                  <w:vMerge w:val="continue"/>
                  <w:vAlign w:val="center"/>
                </w:tcPr>
                <w:p>
                  <w:pPr>
                    <w:widowControl/>
                    <w:spacing w:line="320" w:lineRule="exact"/>
                    <w:jc w:val="center"/>
                    <w:rPr>
                      <w:color w:val="auto"/>
                    </w:rPr>
                  </w:pPr>
                </w:p>
              </w:tc>
            </w:tr>
          </w:tbl>
          <w:p>
            <w:pPr>
              <w:widowControl/>
              <w:adjustRightInd w:val="0"/>
              <w:snapToGrid w:val="0"/>
              <w:spacing w:line="360" w:lineRule="auto"/>
              <w:ind w:firstLine="480" w:firstLineChars="200"/>
              <w:jc w:val="left"/>
              <w:rPr>
                <w:color w:val="auto"/>
                <w:sz w:val="24"/>
              </w:rPr>
            </w:pPr>
            <w:r>
              <w:rPr>
                <w:color w:val="auto"/>
                <w:sz w:val="24"/>
              </w:rPr>
              <w:t>因此，本项目符合《长江经济带发展负面清单指南（试行，2022年版）》江苏省实施细则中相关管控要求。</w:t>
            </w:r>
          </w:p>
          <w:p>
            <w:pPr>
              <w:keepNext/>
              <w:keepLines/>
              <w:spacing w:line="360" w:lineRule="auto"/>
              <w:ind w:firstLine="480" w:firstLineChars="200"/>
              <w:rPr>
                <w:color w:val="auto"/>
                <w:kern w:val="0"/>
                <w:sz w:val="24"/>
              </w:rPr>
            </w:pPr>
            <w:r>
              <w:rPr>
                <w:rFonts w:hint="eastAsia"/>
                <w:color w:val="auto"/>
                <w:kern w:val="0"/>
                <w:sz w:val="24"/>
              </w:rPr>
              <w:t>b</w:t>
            </w:r>
            <w:r>
              <w:rPr>
                <w:color w:val="auto"/>
                <w:kern w:val="0"/>
                <w:sz w:val="24"/>
              </w:rPr>
              <w:t>.市场准入负面清单</w:t>
            </w:r>
          </w:p>
          <w:p>
            <w:pPr>
              <w:widowControl/>
              <w:spacing w:line="360" w:lineRule="auto"/>
              <w:ind w:firstLine="480" w:firstLineChars="200"/>
              <w:rPr>
                <w:color w:val="auto"/>
                <w:kern w:val="0"/>
                <w:sz w:val="24"/>
              </w:rPr>
            </w:pPr>
            <w:r>
              <w:rPr>
                <w:color w:val="auto"/>
                <w:kern w:val="0"/>
                <w:sz w:val="24"/>
              </w:rPr>
              <w:t>对照《市场准入负面清单（2022年版）》中相关要求，本项目行业类别G5942危险化学品仓储，属于企业配套自用服务，不属于市场准入负面清单中的禁止或许可准入中的类别。</w:t>
            </w:r>
          </w:p>
          <w:p>
            <w:pPr>
              <w:widowControl/>
              <w:spacing w:line="360" w:lineRule="auto"/>
              <w:ind w:firstLine="480" w:firstLineChars="200"/>
              <w:rPr>
                <w:color w:val="auto"/>
                <w:kern w:val="0"/>
                <w:sz w:val="24"/>
              </w:rPr>
            </w:pPr>
            <w:r>
              <w:rPr>
                <w:color w:val="auto"/>
                <w:kern w:val="0"/>
                <w:sz w:val="24"/>
              </w:rPr>
              <w:t>综上，本项目符合“三线一单”及国家和地方产业政策的相关要求。</w:t>
            </w:r>
          </w:p>
          <w:p>
            <w:pPr>
              <w:spacing w:line="360" w:lineRule="auto"/>
              <w:ind w:firstLine="480" w:firstLineChars="200"/>
              <w:rPr>
                <w:color w:val="auto"/>
                <w:sz w:val="24"/>
              </w:rPr>
            </w:pPr>
            <w:r>
              <w:rPr>
                <w:color w:val="auto"/>
                <w:sz w:val="24"/>
              </w:rPr>
              <w:t>（5）与《省政府关于印发江苏省“三线一单”生态环境分区管控方案的通知》（苏政发[2020]49号）相符性分析</w:t>
            </w:r>
          </w:p>
          <w:p>
            <w:pPr>
              <w:spacing w:line="360" w:lineRule="auto"/>
              <w:ind w:firstLine="480" w:firstLineChars="200"/>
              <w:rPr>
                <w:color w:val="auto"/>
                <w:sz w:val="24"/>
              </w:rPr>
            </w:pPr>
            <w:r>
              <w:rPr>
                <w:color w:val="auto"/>
                <w:sz w:val="24"/>
              </w:rPr>
              <w:t>对照《省政府关于印发江苏省“三线一单”生态环境分区管控方案的通知》（苏政发[2020]49号），本项目位于位于常熟市东南街道庐山路68号，与《江苏省重点区域（流域）生态环境分区管控要求》相符性分析见下表1-</w:t>
            </w:r>
            <w:r>
              <w:rPr>
                <w:rFonts w:hint="eastAsia"/>
                <w:color w:val="auto"/>
                <w:sz w:val="24"/>
              </w:rPr>
              <w:t>7</w:t>
            </w:r>
            <w:r>
              <w:rPr>
                <w:color w:val="auto"/>
                <w:sz w:val="24"/>
              </w:rPr>
              <w:t>。</w:t>
            </w:r>
          </w:p>
          <w:p>
            <w:pPr>
              <w:widowControl/>
              <w:adjustRightInd w:val="0"/>
              <w:snapToGrid w:val="0"/>
              <w:jc w:val="center"/>
              <w:rPr>
                <w:b/>
                <w:bCs/>
                <w:color w:val="auto"/>
                <w:sz w:val="24"/>
              </w:rPr>
            </w:pPr>
            <w:r>
              <w:rPr>
                <w:b/>
                <w:bCs/>
                <w:color w:val="auto"/>
                <w:sz w:val="24"/>
              </w:rPr>
              <w:t>表1-</w:t>
            </w:r>
            <w:r>
              <w:rPr>
                <w:rFonts w:hint="eastAsia"/>
                <w:b/>
                <w:bCs/>
                <w:color w:val="auto"/>
                <w:sz w:val="24"/>
              </w:rPr>
              <w:t>7</w:t>
            </w:r>
            <w:r>
              <w:rPr>
                <w:b/>
                <w:bCs/>
                <w:color w:val="auto"/>
                <w:sz w:val="24"/>
              </w:rPr>
              <w:t>与《江苏省重点区域（流域）生态环境分区管控要求》相符性分析表</w:t>
            </w:r>
          </w:p>
          <w:tbl>
            <w:tblPr>
              <w:tblStyle w:val="20"/>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705"/>
              <w:gridCol w:w="4680"/>
              <w:gridCol w:w="1560"/>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76" w:type="dxa"/>
                  <w:vAlign w:val="center"/>
                </w:tcPr>
                <w:p>
                  <w:pPr>
                    <w:spacing w:line="264" w:lineRule="auto"/>
                    <w:jc w:val="center"/>
                    <w:rPr>
                      <w:color w:val="auto"/>
                      <w:szCs w:val="21"/>
                    </w:rPr>
                  </w:pPr>
                  <w:r>
                    <w:rPr>
                      <w:color w:val="auto"/>
                      <w:szCs w:val="21"/>
                    </w:rPr>
                    <w:t>序号</w:t>
                  </w:r>
                </w:p>
              </w:tc>
              <w:tc>
                <w:tcPr>
                  <w:tcW w:w="705" w:type="dxa"/>
                  <w:vAlign w:val="center"/>
                </w:tcPr>
                <w:p>
                  <w:pPr>
                    <w:spacing w:line="264" w:lineRule="auto"/>
                    <w:jc w:val="center"/>
                    <w:rPr>
                      <w:color w:val="auto"/>
                      <w:szCs w:val="21"/>
                    </w:rPr>
                  </w:pPr>
                  <w:r>
                    <w:rPr>
                      <w:color w:val="auto"/>
                      <w:szCs w:val="21"/>
                    </w:rPr>
                    <w:t>管控类别</w:t>
                  </w:r>
                </w:p>
              </w:tc>
              <w:tc>
                <w:tcPr>
                  <w:tcW w:w="4680" w:type="dxa"/>
                  <w:vAlign w:val="center"/>
                </w:tcPr>
                <w:p>
                  <w:pPr>
                    <w:spacing w:line="264" w:lineRule="auto"/>
                    <w:jc w:val="center"/>
                    <w:rPr>
                      <w:color w:val="auto"/>
                      <w:szCs w:val="21"/>
                    </w:rPr>
                  </w:pPr>
                  <w:r>
                    <w:rPr>
                      <w:color w:val="auto"/>
                      <w:szCs w:val="21"/>
                    </w:rPr>
                    <w:t>重点管控要求</w:t>
                  </w:r>
                </w:p>
              </w:tc>
              <w:tc>
                <w:tcPr>
                  <w:tcW w:w="1560" w:type="dxa"/>
                  <w:vAlign w:val="center"/>
                </w:tcPr>
                <w:p>
                  <w:pPr>
                    <w:spacing w:line="264" w:lineRule="auto"/>
                    <w:jc w:val="center"/>
                    <w:rPr>
                      <w:color w:val="auto"/>
                      <w:szCs w:val="21"/>
                    </w:rPr>
                  </w:pPr>
                  <w:r>
                    <w:rPr>
                      <w:color w:val="auto"/>
                      <w:szCs w:val="21"/>
                    </w:rPr>
                    <w:t>本项目</w:t>
                  </w:r>
                </w:p>
              </w:tc>
              <w:tc>
                <w:tcPr>
                  <w:tcW w:w="918" w:type="dxa"/>
                  <w:vAlign w:val="center"/>
                </w:tcPr>
                <w:p>
                  <w:pPr>
                    <w:spacing w:line="264" w:lineRule="auto"/>
                    <w:jc w:val="center"/>
                    <w:rPr>
                      <w:color w:val="auto"/>
                      <w:szCs w:val="21"/>
                    </w:rPr>
                  </w:pPr>
                  <w:r>
                    <w:rPr>
                      <w:color w:val="auto"/>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439" w:type="dxa"/>
                  <w:gridSpan w:val="5"/>
                  <w:vAlign w:val="center"/>
                </w:tcPr>
                <w:p>
                  <w:pPr>
                    <w:spacing w:line="264" w:lineRule="auto"/>
                    <w:jc w:val="center"/>
                    <w:rPr>
                      <w:color w:val="auto"/>
                      <w:szCs w:val="21"/>
                    </w:rPr>
                  </w:pPr>
                  <w:r>
                    <w:rPr>
                      <w:b/>
                      <w:bCs/>
                      <w:color w:val="auto"/>
                      <w:szCs w:val="21"/>
                    </w:rPr>
                    <w:t>一、长江流域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1</w:t>
                  </w:r>
                </w:p>
              </w:tc>
              <w:tc>
                <w:tcPr>
                  <w:tcW w:w="705" w:type="dxa"/>
                  <w:vAlign w:val="center"/>
                </w:tcPr>
                <w:p>
                  <w:pPr>
                    <w:spacing w:line="264" w:lineRule="auto"/>
                    <w:jc w:val="center"/>
                    <w:rPr>
                      <w:color w:val="auto"/>
                      <w:szCs w:val="21"/>
                    </w:rPr>
                  </w:pPr>
                  <w:r>
                    <w:rPr>
                      <w:color w:val="auto"/>
                      <w:szCs w:val="21"/>
                    </w:rPr>
                    <w:t>空间布局</w:t>
                  </w:r>
                </w:p>
              </w:tc>
              <w:tc>
                <w:tcPr>
                  <w:tcW w:w="4680" w:type="dxa"/>
                  <w:vAlign w:val="center"/>
                </w:tcPr>
                <w:p>
                  <w:pPr>
                    <w:spacing w:line="264" w:lineRule="auto"/>
                    <w:rPr>
                      <w:color w:val="auto"/>
                      <w:szCs w:val="21"/>
                    </w:rPr>
                  </w:pPr>
                  <w:r>
                    <w:rPr>
                      <w:color w:val="auto"/>
                      <w:szCs w:val="21"/>
                    </w:rPr>
                    <w:t>1、始终把长江生态修复放在首位，坚持共抓大保护、不搞大开发，引导长江流域产业转型升级和布局优化调整，实现科学发展、有序发展、高质量发展。</w:t>
                  </w:r>
                </w:p>
                <w:p>
                  <w:pPr>
                    <w:spacing w:line="264" w:lineRule="auto"/>
                    <w:rPr>
                      <w:color w:val="auto"/>
                      <w:szCs w:val="21"/>
                    </w:rPr>
                  </w:pPr>
                  <w:r>
                    <w:rPr>
                      <w:color w:val="auto"/>
                      <w:szCs w:val="21"/>
                    </w:rPr>
                    <w:t>2、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p>
                  <w:pPr>
                    <w:spacing w:line="264" w:lineRule="auto"/>
                    <w:rPr>
                      <w:color w:val="auto"/>
                      <w:szCs w:val="21"/>
                    </w:rPr>
                  </w:pPr>
                  <w:r>
                    <w:rPr>
                      <w:color w:val="auto"/>
                      <w:szCs w:val="21"/>
                    </w:rPr>
                    <w:t>3、禁止在沿江地区新建或扩建化学工业园区，禁止新建或扩建以大宗进口油气资源为原料的石油加工、石油化工、基础有机无机化工、煤化工项目：禁止在长江干流和主要支流岸线1公里范围内新建危化品码头。</w:t>
                  </w:r>
                </w:p>
                <w:p>
                  <w:pPr>
                    <w:spacing w:line="264" w:lineRule="auto"/>
                    <w:rPr>
                      <w:color w:val="auto"/>
                      <w:szCs w:val="21"/>
                    </w:rPr>
                  </w:pPr>
                  <w:r>
                    <w:rPr>
                      <w:color w:val="auto"/>
                      <w:szCs w:val="21"/>
                    </w:rPr>
                    <w:t>4、强化港口布局优化，禁止建设不符合国家港口布局规划和《江苏省沿江沿海港口布局规划（2015-2030年）》《江苏省内河港口布局规划（2017-2035年）》的码头项目，禁止建设未纳入《长江干线过江通道布局规划》的过江干线通道项目。</w:t>
                  </w:r>
                </w:p>
                <w:p>
                  <w:pPr>
                    <w:spacing w:line="264" w:lineRule="auto"/>
                    <w:rPr>
                      <w:color w:val="auto"/>
                      <w:szCs w:val="21"/>
                    </w:rPr>
                  </w:pPr>
                  <w:r>
                    <w:rPr>
                      <w:color w:val="auto"/>
                      <w:szCs w:val="21"/>
                    </w:rPr>
                    <w:t>5、禁止新建独立焦化项目。</w:t>
                  </w:r>
                </w:p>
              </w:tc>
              <w:tc>
                <w:tcPr>
                  <w:tcW w:w="1560" w:type="dxa"/>
                  <w:vAlign w:val="center"/>
                </w:tcPr>
                <w:p>
                  <w:pPr>
                    <w:spacing w:line="264" w:lineRule="auto"/>
                    <w:jc w:val="center"/>
                    <w:rPr>
                      <w:color w:val="auto"/>
                      <w:szCs w:val="21"/>
                    </w:rPr>
                  </w:pPr>
                  <w:r>
                    <w:rPr>
                      <w:color w:val="auto"/>
                      <w:szCs w:val="21"/>
                    </w:rPr>
                    <w:t>本项目位于常熟市东南街道庐山路68号，属于危险化学品仓储，为企业配套自用服务。</w:t>
                  </w:r>
                </w:p>
                <w:p>
                  <w:pPr>
                    <w:spacing w:line="264" w:lineRule="auto"/>
                    <w:jc w:val="center"/>
                    <w:rPr>
                      <w:color w:val="auto"/>
                      <w:szCs w:val="21"/>
                    </w:rPr>
                  </w:pPr>
                  <w:r>
                    <w:rPr>
                      <w:color w:val="auto"/>
                      <w:szCs w:val="21"/>
                    </w:rPr>
                    <w:t>本项目所在地为工业用地，不占用国家级生态保护红线、生态空间管控区域以及永久基本农田。</w:t>
                  </w:r>
                </w:p>
              </w:tc>
              <w:tc>
                <w:tcPr>
                  <w:tcW w:w="918" w:type="dxa"/>
                  <w:vAlign w:val="center"/>
                </w:tcPr>
                <w:p>
                  <w:pPr>
                    <w:spacing w:line="264"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2</w:t>
                  </w:r>
                </w:p>
              </w:tc>
              <w:tc>
                <w:tcPr>
                  <w:tcW w:w="705" w:type="dxa"/>
                  <w:vAlign w:val="center"/>
                </w:tcPr>
                <w:p>
                  <w:pPr>
                    <w:spacing w:line="264" w:lineRule="auto"/>
                    <w:jc w:val="center"/>
                    <w:rPr>
                      <w:color w:val="auto"/>
                      <w:szCs w:val="21"/>
                    </w:rPr>
                  </w:pPr>
                  <w:r>
                    <w:rPr>
                      <w:color w:val="auto"/>
                      <w:szCs w:val="21"/>
                    </w:rPr>
                    <w:t>污染物排放管</w:t>
                  </w:r>
                </w:p>
                <w:p>
                  <w:pPr>
                    <w:spacing w:line="264" w:lineRule="auto"/>
                    <w:jc w:val="center"/>
                    <w:rPr>
                      <w:color w:val="auto"/>
                      <w:szCs w:val="21"/>
                    </w:rPr>
                  </w:pPr>
                  <w:r>
                    <w:rPr>
                      <w:color w:val="auto"/>
                      <w:szCs w:val="21"/>
                    </w:rPr>
                    <w:t>控</w:t>
                  </w:r>
                </w:p>
              </w:tc>
              <w:tc>
                <w:tcPr>
                  <w:tcW w:w="4680" w:type="dxa"/>
                  <w:vAlign w:val="center"/>
                </w:tcPr>
                <w:p>
                  <w:pPr>
                    <w:spacing w:line="264" w:lineRule="auto"/>
                    <w:rPr>
                      <w:color w:val="auto"/>
                      <w:szCs w:val="21"/>
                    </w:rPr>
                  </w:pPr>
                  <w:r>
                    <w:rPr>
                      <w:color w:val="auto"/>
                      <w:szCs w:val="21"/>
                    </w:rPr>
                    <w:t>1、根据《江苏省长江水污染防治条例》实施污染物总量控制制度。</w:t>
                  </w:r>
                </w:p>
                <w:p>
                  <w:pPr>
                    <w:spacing w:line="264" w:lineRule="auto"/>
                    <w:rPr>
                      <w:color w:val="auto"/>
                      <w:szCs w:val="21"/>
                    </w:rPr>
                  </w:pPr>
                  <w:r>
                    <w:rPr>
                      <w:color w:val="auto"/>
                      <w:szCs w:val="21"/>
                    </w:rPr>
                    <w:t>2、全面加强和规范长江入河排污口管理，有效管控入河污染物排放，形成权责清晰、监控到位、管理规范的长江入河排污口监管体系，加快改善长江水环境质量。</w:t>
                  </w:r>
                </w:p>
              </w:tc>
              <w:tc>
                <w:tcPr>
                  <w:tcW w:w="1560" w:type="dxa"/>
                  <w:vAlign w:val="center"/>
                </w:tcPr>
                <w:p>
                  <w:pPr>
                    <w:spacing w:line="264" w:lineRule="auto"/>
                    <w:jc w:val="center"/>
                    <w:rPr>
                      <w:color w:val="auto"/>
                      <w:szCs w:val="21"/>
                    </w:rPr>
                  </w:pPr>
                  <w:r>
                    <w:rPr>
                      <w:color w:val="auto"/>
                      <w:szCs w:val="21"/>
                    </w:rPr>
                    <w:t>本项目无废水产生排放，不涉及长江入河排污口。</w:t>
                  </w:r>
                </w:p>
              </w:tc>
              <w:tc>
                <w:tcPr>
                  <w:tcW w:w="918" w:type="dxa"/>
                  <w:vAlign w:val="center"/>
                </w:tcPr>
                <w:p>
                  <w:pPr>
                    <w:spacing w:line="264"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3</w:t>
                  </w:r>
                </w:p>
              </w:tc>
              <w:tc>
                <w:tcPr>
                  <w:tcW w:w="705" w:type="dxa"/>
                  <w:vAlign w:val="center"/>
                </w:tcPr>
                <w:p>
                  <w:pPr>
                    <w:spacing w:line="264" w:lineRule="auto"/>
                    <w:jc w:val="center"/>
                    <w:rPr>
                      <w:color w:val="auto"/>
                      <w:szCs w:val="21"/>
                    </w:rPr>
                  </w:pPr>
                  <w:r>
                    <w:rPr>
                      <w:color w:val="auto"/>
                      <w:szCs w:val="21"/>
                    </w:rPr>
                    <w:t>环境风险防控</w:t>
                  </w:r>
                </w:p>
              </w:tc>
              <w:tc>
                <w:tcPr>
                  <w:tcW w:w="4680" w:type="dxa"/>
                  <w:vAlign w:val="center"/>
                </w:tcPr>
                <w:p>
                  <w:pPr>
                    <w:spacing w:line="264" w:lineRule="auto"/>
                    <w:rPr>
                      <w:color w:val="auto"/>
                      <w:szCs w:val="21"/>
                    </w:rPr>
                  </w:pPr>
                  <w:r>
                    <w:rPr>
                      <w:color w:val="auto"/>
                      <w:szCs w:val="21"/>
                    </w:rPr>
                    <w:t>1、防范沿江环境风险。深化沿江石化、化工、医药、纺织、印染、化纤、危化品和石油类仓储、涉重金属和危险废物处置等重点企业环境风险防控。</w:t>
                  </w:r>
                </w:p>
                <w:p>
                  <w:pPr>
                    <w:spacing w:line="264" w:lineRule="auto"/>
                    <w:rPr>
                      <w:color w:val="auto"/>
                      <w:szCs w:val="21"/>
                    </w:rPr>
                  </w:pPr>
                  <w:r>
                    <w:rPr>
                      <w:color w:val="auto"/>
                      <w:szCs w:val="21"/>
                    </w:rPr>
                    <w:t>2、加强饮用水水源保护。优化水源保护区划定，推动饮用水水源地规范化建设。</w:t>
                  </w:r>
                </w:p>
              </w:tc>
              <w:tc>
                <w:tcPr>
                  <w:tcW w:w="1560" w:type="dxa"/>
                  <w:vAlign w:val="center"/>
                </w:tcPr>
                <w:p>
                  <w:pPr>
                    <w:spacing w:line="264" w:lineRule="auto"/>
                    <w:jc w:val="center"/>
                    <w:rPr>
                      <w:color w:val="auto"/>
                      <w:szCs w:val="21"/>
                    </w:rPr>
                  </w:pPr>
                  <w:r>
                    <w:rPr>
                      <w:color w:val="auto"/>
                      <w:szCs w:val="21"/>
                    </w:rPr>
                    <w:t>本项目不涉及重金属，环境风险较小，且不在饮用水水源保护区内。</w:t>
                  </w:r>
                </w:p>
              </w:tc>
              <w:tc>
                <w:tcPr>
                  <w:tcW w:w="918" w:type="dxa"/>
                  <w:vAlign w:val="center"/>
                </w:tcPr>
                <w:p>
                  <w:pPr>
                    <w:spacing w:line="264"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4</w:t>
                  </w:r>
                </w:p>
              </w:tc>
              <w:tc>
                <w:tcPr>
                  <w:tcW w:w="705" w:type="dxa"/>
                  <w:vAlign w:val="center"/>
                </w:tcPr>
                <w:p>
                  <w:pPr>
                    <w:spacing w:line="264" w:lineRule="auto"/>
                    <w:jc w:val="center"/>
                    <w:rPr>
                      <w:color w:val="auto"/>
                      <w:szCs w:val="21"/>
                    </w:rPr>
                  </w:pPr>
                  <w:r>
                    <w:rPr>
                      <w:color w:val="auto"/>
                      <w:szCs w:val="21"/>
                    </w:rPr>
                    <w:t>资源利用效率</w:t>
                  </w:r>
                </w:p>
                <w:p>
                  <w:pPr>
                    <w:spacing w:line="264" w:lineRule="auto"/>
                    <w:jc w:val="center"/>
                    <w:rPr>
                      <w:color w:val="auto"/>
                      <w:szCs w:val="21"/>
                    </w:rPr>
                  </w:pPr>
                  <w:r>
                    <w:rPr>
                      <w:color w:val="auto"/>
                      <w:szCs w:val="21"/>
                    </w:rPr>
                    <w:t>要求</w:t>
                  </w:r>
                </w:p>
              </w:tc>
              <w:tc>
                <w:tcPr>
                  <w:tcW w:w="4680" w:type="dxa"/>
                  <w:vAlign w:val="center"/>
                </w:tcPr>
                <w:p>
                  <w:pPr>
                    <w:spacing w:line="264" w:lineRule="auto"/>
                    <w:rPr>
                      <w:color w:val="auto"/>
                      <w:szCs w:val="21"/>
                    </w:rPr>
                  </w:pPr>
                  <w:r>
                    <w:rPr>
                      <w:color w:val="auto"/>
                      <w:szCs w:val="21"/>
                    </w:rPr>
                    <w:t>到2020年长江干支流自然岸线保有率达到国家要求。</w:t>
                  </w:r>
                </w:p>
              </w:tc>
              <w:tc>
                <w:tcPr>
                  <w:tcW w:w="1560" w:type="dxa"/>
                  <w:vAlign w:val="center"/>
                </w:tcPr>
                <w:p>
                  <w:pPr>
                    <w:spacing w:line="264" w:lineRule="auto"/>
                    <w:jc w:val="center"/>
                    <w:rPr>
                      <w:color w:val="auto"/>
                      <w:szCs w:val="21"/>
                    </w:rPr>
                  </w:pPr>
                  <w:r>
                    <w:rPr>
                      <w:color w:val="auto"/>
                      <w:szCs w:val="21"/>
                    </w:rPr>
                    <w:t>不涉及</w:t>
                  </w:r>
                </w:p>
              </w:tc>
              <w:tc>
                <w:tcPr>
                  <w:tcW w:w="918" w:type="dxa"/>
                  <w:vAlign w:val="center"/>
                </w:tcPr>
                <w:p>
                  <w:pPr>
                    <w:spacing w:line="264"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439" w:type="dxa"/>
                  <w:gridSpan w:val="5"/>
                  <w:vAlign w:val="center"/>
                </w:tcPr>
                <w:p>
                  <w:pPr>
                    <w:spacing w:line="264" w:lineRule="auto"/>
                    <w:jc w:val="center"/>
                    <w:rPr>
                      <w:color w:val="auto"/>
                      <w:szCs w:val="21"/>
                    </w:rPr>
                  </w:pPr>
                  <w:r>
                    <w:rPr>
                      <w:b/>
                      <w:bCs/>
                      <w:color w:val="auto"/>
                      <w:szCs w:val="21"/>
                    </w:rPr>
                    <w:t>二、太湖流域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1</w:t>
                  </w:r>
                </w:p>
              </w:tc>
              <w:tc>
                <w:tcPr>
                  <w:tcW w:w="705" w:type="dxa"/>
                  <w:vAlign w:val="center"/>
                </w:tcPr>
                <w:p>
                  <w:pPr>
                    <w:spacing w:line="264" w:lineRule="auto"/>
                    <w:jc w:val="center"/>
                    <w:rPr>
                      <w:color w:val="auto"/>
                      <w:szCs w:val="21"/>
                    </w:rPr>
                  </w:pPr>
                  <w:r>
                    <w:rPr>
                      <w:color w:val="auto"/>
                      <w:szCs w:val="21"/>
                    </w:rPr>
                    <w:t>空间布局约束</w:t>
                  </w:r>
                </w:p>
              </w:tc>
              <w:tc>
                <w:tcPr>
                  <w:tcW w:w="4680" w:type="dxa"/>
                  <w:vAlign w:val="center"/>
                </w:tcPr>
                <w:p>
                  <w:pPr>
                    <w:spacing w:line="264" w:lineRule="auto"/>
                    <w:rPr>
                      <w:color w:val="auto"/>
                      <w:szCs w:val="21"/>
                    </w:rPr>
                  </w:pPr>
                  <w:r>
                    <w:rPr>
                      <w:color w:val="auto"/>
                      <w:szCs w:val="21"/>
                    </w:rPr>
                    <w:t>1、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pPr>
                    <w:spacing w:line="264" w:lineRule="auto"/>
                    <w:rPr>
                      <w:color w:val="auto"/>
                      <w:szCs w:val="21"/>
                    </w:rPr>
                  </w:pPr>
                  <w:r>
                    <w:rPr>
                      <w:color w:val="auto"/>
                      <w:szCs w:val="21"/>
                    </w:rPr>
                    <w:t>2、在太湖流域一级保护区，禁止新建、扩建向水体排放污染物的建设项目，禁止新建、扩建畜禽养殖场，禁止新建、扩建高尔夫球场、水上游乐等开发项目以及设置水上餐饮经营设施。</w:t>
                  </w:r>
                </w:p>
                <w:p>
                  <w:pPr>
                    <w:spacing w:line="264" w:lineRule="auto"/>
                    <w:rPr>
                      <w:color w:val="auto"/>
                      <w:szCs w:val="21"/>
                    </w:rPr>
                  </w:pPr>
                  <w:r>
                    <w:rPr>
                      <w:color w:val="auto"/>
                      <w:szCs w:val="21"/>
                    </w:rPr>
                    <w:t>3、在太湖流域二级保护区，禁止新建、扩建化工、医药生产项目，禁止新建、扩建污水集中处理设施排污口以外的排污口。</w:t>
                  </w:r>
                </w:p>
              </w:tc>
              <w:tc>
                <w:tcPr>
                  <w:tcW w:w="1560" w:type="dxa"/>
                  <w:vMerge w:val="restart"/>
                  <w:vAlign w:val="center"/>
                </w:tcPr>
                <w:p>
                  <w:pPr>
                    <w:spacing w:line="264" w:lineRule="auto"/>
                    <w:jc w:val="center"/>
                    <w:rPr>
                      <w:color w:val="auto"/>
                      <w:szCs w:val="21"/>
                    </w:rPr>
                  </w:pPr>
                  <w:r>
                    <w:rPr>
                      <w:color w:val="auto"/>
                      <w:szCs w:val="21"/>
                    </w:rPr>
                    <w:t>本项目位于太湖流域三级保护区内，行业类别G5942危险化学品仓储。本项目无废水产生排放；无固体废物产生。项目环境风险较小。</w:t>
                  </w:r>
                </w:p>
              </w:tc>
              <w:tc>
                <w:tcPr>
                  <w:tcW w:w="918" w:type="dxa"/>
                  <w:vAlign w:val="center"/>
                </w:tcPr>
                <w:p>
                  <w:pPr>
                    <w:spacing w:line="264"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2</w:t>
                  </w:r>
                </w:p>
              </w:tc>
              <w:tc>
                <w:tcPr>
                  <w:tcW w:w="705" w:type="dxa"/>
                  <w:vAlign w:val="center"/>
                </w:tcPr>
                <w:p>
                  <w:pPr>
                    <w:spacing w:line="264" w:lineRule="auto"/>
                    <w:jc w:val="center"/>
                    <w:rPr>
                      <w:color w:val="auto"/>
                      <w:szCs w:val="21"/>
                    </w:rPr>
                  </w:pPr>
                  <w:r>
                    <w:rPr>
                      <w:color w:val="auto"/>
                      <w:szCs w:val="21"/>
                    </w:rPr>
                    <w:t>污染物排放管</w:t>
                  </w:r>
                </w:p>
                <w:p>
                  <w:pPr>
                    <w:spacing w:line="264" w:lineRule="auto"/>
                    <w:jc w:val="center"/>
                    <w:rPr>
                      <w:color w:val="auto"/>
                      <w:szCs w:val="21"/>
                    </w:rPr>
                  </w:pPr>
                  <w:r>
                    <w:rPr>
                      <w:color w:val="auto"/>
                      <w:szCs w:val="21"/>
                    </w:rPr>
                    <w:t>控</w:t>
                  </w:r>
                </w:p>
              </w:tc>
              <w:tc>
                <w:tcPr>
                  <w:tcW w:w="4680" w:type="dxa"/>
                  <w:vAlign w:val="center"/>
                </w:tcPr>
                <w:p>
                  <w:pPr>
                    <w:spacing w:line="264" w:lineRule="auto"/>
                    <w:rPr>
                      <w:color w:val="auto"/>
                      <w:szCs w:val="21"/>
                    </w:rPr>
                  </w:pPr>
                  <w:r>
                    <w:rPr>
                      <w:color w:val="auto"/>
                      <w:szCs w:val="21"/>
                    </w:rPr>
                    <w:t>城镇污水处理厂、纺织行业、化学工业、造纸工业、钢铁工业、电镀工业和食品工业的污水处理设施执行《太湖地区城镇污水处理厂及重点工业行业主要水污染物排放限值》。</w:t>
                  </w:r>
                </w:p>
              </w:tc>
              <w:tc>
                <w:tcPr>
                  <w:tcW w:w="1560" w:type="dxa"/>
                  <w:vMerge w:val="continue"/>
                  <w:vAlign w:val="center"/>
                </w:tcPr>
                <w:p>
                  <w:pPr>
                    <w:spacing w:line="264" w:lineRule="auto"/>
                    <w:jc w:val="center"/>
                    <w:rPr>
                      <w:color w:val="auto"/>
                      <w:szCs w:val="21"/>
                    </w:rPr>
                  </w:pPr>
                </w:p>
              </w:tc>
              <w:tc>
                <w:tcPr>
                  <w:tcW w:w="918" w:type="dxa"/>
                  <w:vAlign w:val="center"/>
                </w:tcPr>
                <w:p>
                  <w:pPr>
                    <w:spacing w:line="264"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3</w:t>
                  </w:r>
                </w:p>
              </w:tc>
              <w:tc>
                <w:tcPr>
                  <w:tcW w:w="705" w:type="dxa"/>
                  <w:vAlign w:val="center"/>
                </w:tcPr>
                <w:p>
                  <w:pPr>
                    <w:spacing w:line="264" w:lineRule="auto"/>
                    <w:jc w:val="center"/>
                    <w:rPr>
                      <w:color w:val="auto"/>
                      <w:szCs w:val="21"/>
                    </w:rPr>
                  </w:pPr>
                  <w:r>
                    <w:rPr>
                      <w:color w:val="auto"/>
                      <w:szCs w:val="21"/>
                    </w:rPr>
                    <w:t>环境风险防控</w:t>
                  </w:r>
                </w:p>
              </w:tc>
              <w:tc>
                <w:tcPr>
                  <w:tcW w:w="4680" w:type="dxa"/>
                  <w:vAlign w:val="center"/>
                </w:tcPr>
                <w:p>
                  <w:pPr>
                    <w:spacing w:line="264" w:lineRule="auto"/>
                    <w:rPr>
                      <w:color w:val="auto"/>
                      <w:szCs w:val="21"/>
                    </w:rPr>
                  </w:pPr>
                  <w:r>
                    <w:rPr>
                      <w:color w:val="auto"/>
                      <w:szCs w:val="21"/>
                    </w:rPr>
                    <w:t>1、运输剧毒物质、危险化学品的船舶不得进入太湖。</w:t>
                  </w:r>
                </w:p>
                <w:p>
                  <w:pPr>
                    <w:spacing w:line="264" w:lineRule="auto"/>
                    <w:rPr>
                      <w:color w:val="auto"/>
                      <w:szCs w:val="21"/>
                    </w:rPr>
                  </w:pPr>
                  <w:r>
                    <w:rPr>
                      <w:color w:val="auto"/>
                      <w:szCs w:val="21"/>
                    </w:rPr>
                    <w:t>2、禁止向太湖流域水体排放或者倾倒油类、酸液、碱液、剧毒废渣废液、含放射性废渣废液、含病原体污水、工业废渣以及其他废弃物。</w:t>
                  </w:r>
                </w:p>
                <w:p>
                  <w:pPr>
                    <w:spacing w:line="264" w:lineRule="auto"/>
                    <w:rPr>
                      <w:color w:val="auto"/>
                      <w:szCs w:val="21"/>
                    </w:rPr>
                  </w:pPr>
                  <w:r>
                    <w:rPr>
                      <w:color w:val="auto"/>
                      <w:szCs w:val="21"/>
                    </w:rPr>
                    <w:t>3、加强太湖流域生态环境风险应急管控，着力提高防控太湖蓝藻水华风险预警和应急处置能力。</w:t>
                  </w:r>
                </w:p>
              </w:tc>
              <w:tc>
                <w:tcPr>
                  <w:tcW w:w="1560" w:type="dxa"/>
                  <w:vMerge w:val="continue"/>
                  <w:vAlign w:val="center"/>
                </w:tcPr>
                <w:p>
                  <w:pPr>
                    <w:spacing w:line="264" w:lineRule="auto"/>
                    <w:jc w:val="center"/>
                    <w:rPr>
                      <w:color w:val="auto"/>
                      <w:szCs w:val="21"/>
                    </w:rPr>
                  </w:pPr>
                </w:p>
              </w:tc>
              <w:tc>
                <w:tcPr>
                  <w:tcW w:w="918" w:type="dxa"/>
                  <w:vAlign w:val="center"/>
                </w:tcPr>
                <w:p>
                  <w:pPr>
                    <w:spacing w:line="264"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spacing w:line="264" w:lineRule="auto"/>
                    <w:jc w:val="center"/>
                    <w:rPr>
                      <w:color w:val="auto"/>
                      <w:szCs w:val="21"/>
                    </w:rPr>
                  </w:pPr>
                  <w:r>
                    <w:rPr>
                      <w:color w:val="auto"/>
                      <w:szCs w:val="21"/>
                    </w:rPr>
                    <w:t>4</w:t>
                  </w:r>
                </w:p>
              </w:tc>
              <w:tc>
                <w:tcPr>
                  <w:tcW w:w="705" w:type="dxa"/>
                  <w:vAlign w:val="center"/>
                </w:tcPr>
                <w:p>
                  <w:pPr>
                    <w:spacing w:line="264" w:lineRule="auto"/>
                    <w:jc w:val="center"/>
                    <w:rPr>
                      <w:color w:val="auto"/>
                      <w:szCs w:val="21"/>
                    </w:rPr>
                  </w:pPr>
                  <w:r>
                    <w:rPr>
                      <w:color w:val="auto"/>
                      <w:szCs w:val="21"/>
                    </w:rPr>
                    <w:t>资源利用效率</w:t>
                  </w:r>
                </w:p>
                <w:p>
                  <w:pPr>
                    <w:spacing w:line="264" w:lineRule="auto"/>
                    <w:jc w:val="center"/>
                    <w:rPr>
                      <w:color w:val="auto"/>
                      <w:szCs w:val="21"/>
                    </w:rPr>
                  </w:pPr>
                  <w:r>
                    <w:rPr>
                      <w:color w:val="auto"/>
                      <w:szCs w:val="21"/>
                    </w:rPr>
                    <w:t>要求</w:t>
                  </w:r>
                </w:p>
              </w:tc>
              <w:tc>
                <w:tcPr>
                  <w:tcW w:w="4680" w:type="dxa"/>
                  <w:vAlign w:val="center"/>
                </w:tcPr>
                <w:p>
                  <w:pPr>
                    <w:spacing w:line="264" w:lineRule="auto"/>
                    <w:rPr>
                      <w:color w:val="auto"/>
                      <w:szCs w:val="21"/>
                    </w:rPr>
                  </w:pPr>
                  <w:r>
                    <w:rPr>
                      <w:color w:val="auto"/>
                      <w:szCs w:val="21"/>
                    </w:rPr>
                    <w:t>1、太湖流域加强水资源配置与调度，优先满足居民生活用水，兼顾生产、生态用水以及航运等需要。</w:t>
                  </w:r>
                </w:p>
                <w:p>
                  <w:pPr>
                    <w:spacing w:line="264" w:lineRule="auto"/>
                    <w:rPr>
                      <w:color w:val="auto"/>
                      <w:szCs w:val="21"/>
                    </w:rPr>
                  </w:pPr>
                  <w:r>
                    <w:rPr>
                      <w:color w:val="auto"/>
                      <w:szCs w:val="21"/>
                    </w:rPr>
                    <w:t>2、2020年底前，太湖流域所有省级以上开发区开展园区循环化改造。</w:t>
                  </w:r>
                </w:p>
              </w:tc>
              <w:tc>
                <w:tcPr>
                  <w:tcW w:w="1560" w:type="dxa"/>
                  <w:vMerge w:val="continue"/>
                  <w:vAlign w:val="center"/>
                </w:tcPr>
                <w:p>
                  <w:pPr>
                    <w:spacing w:line="264" w:lineRule="auto"/>
                    <w:rPr>
                      <w:color w:val="auto"/>
                      <w:szCs w:val="21"/>
                    </w:rPr>
                  </w:pPr>
                </w:p>
              </w:tc>
              <w:tc>
                <w:tcPr>
                  <w:tcW w:w="918" w:type="dxa"/>
                  <w:vAlign w:val="center"/>
                </w:tcPr>
                <w:p>
                  <w:pPr>
                    <w:spacing w:line="264" w:lineRule="auto"/>
                    <w:jc w:val="center"/>
                    <w:rPr>
                      <w:color w:val="auto"/>
                      <w:szCs w:val="21"/>
                    </w:rPr>
                  </w:pPr>
                  <w:r>
                    <w:rPr>
                      <w:color w:val="auto"/>
                      <w:szCs w:val="21"/>
                    </w:rPr>
                    <w:t>相符</w:t>
                  </w:r>
                </w:p>
              </w:tc>
            </w:tr>
          </w:tbl>
          <w:p>
            <w:pPr>
              <w:spacing w:beforeLines="50" w:line="360" w:lineRule="auto"/>
              <w:ind w:firstLine="480" w:firstLineChars="200"/>
              <w:rPr>
                <w:color w:val="auto"/>
                <w:sz w:val="24"/>
              </w:rPr>
            </w:pPr>
            <w:r>
              <w:rPr>
                <w:color w:val="auto"/>
                <w:sz w:val="24"/>
              </w:rPr>
              <w:t>（6）与《关于印发&lt;苏州市“三线一单”生态环境分区管控实施方案&gt;的通知》（苏环办字[2020]313号）相符性分析</w:t>
            </w:r>
          </w:p>
          <w:p>
            <w:pPr>
              <w:spacing w:line="360" w:lineRule="auto"/>
              <w:ind w:firstLine="480" w:firstLineChars="200"/>
              <w:rPr>
                <w:color w:val="auto"/>
                <w:sz w:val="24"/>
              </w:rPr>
            </w:pPr>
            <w:r>
              <w:rPr>
                <w:color w:val="auto"/>
                <w:sz w:val="24"/>
              </w:rPr>
              <w:t>对照《关于印发&lt;苏州市“三线一单”生态环境分区管控实施方案&gt;的通知》（苏环办字[2020]313号）文件中（二）落实生态环境管控要求：</w:t>
            </w:r>
            <w:r>
              <w:rPr>
                <w:b/>
                <w:bCs/>
                <w:color w:val="auto"/>
                <w:sz w:val="24"/>
              </w:rPr>
              <w:t>环境管控单元的生态环境准入清单。优先保护单元</w:t>
            </w:r>
            <w:r>
              <w:rPr>
                <w:color w:val="auto"/>
                <w:sz w:val="24"/>
              </w:rPr>
              <w:t>，严格按照生态保护红线和生态空间管控区域管理规定进行管控。依法禁止或限制开发建设活动，确保生态环境功能不降低、面积不减少、性质不改变；优先开展生态功能受损区域生态保护修复活动，恢复生态系统服务功能。</w:t>
            </w:r>
            <w:r>
              <w:rPr>
                <w:b/>
                <w:bCs/>
                <w:color w:val="auto"/>
                <w:sz w:val="24"/>
              </w:rPr>
              <w:t>重点管控单元</w:t>
            </w:r>
            <w:r>
              <w:rPr>
                <w:color w:val="auto"/>
                <w:sz w:val="24"/>
              </w:rPr>
              <w:t>，主要推进产业布局优化、转型升级，不断提高资源利用效率，加强污染物排放控制和环境风险防控，解决突出生态环境问题。</w:t>
            </w:r>
            <w:r>
              <w:rPr>
                <w:b/>
                <w:bCs/>
                <w:color w:val="auto"/>
                <w:sz w:val="24"/>
              </w:rPr>
              <w:t>一般管控单元，</w:t>
            </w:r>
            <w:r>
              <w:rPr>
                <w:color w:val="auto"/>
                <w:sz w:val="24"/>
              </w:rPr>
              <w:t>主要落实生态环境保护基本要求，加强生活污染和农业面源污染治理，推动区域环境治理持续改善。</w:t>
            </w:r>
          </w:p>
          <w:p>
            <w:pPr>
              <w:spacing w:line="360" w:lineRule="auto"/>
              <w:ind w:firstLine="480" w:firstLineChars="200"/>
              <w:rPr>
                <w:color w:val="auto"/>
                <w:sz w:val="24"/>
              </w:rPr>
            </w:pPr>
            <w:r>
              <w:rPr>
                <w:color w:val="auto"/>
                <w:sz w:val="24"/>
              </w:rPr>
              <w:t>本项目位于江苏省常熟市东南街道庐山路68号，对照《关于印发&lt;苏州市“三线一单”生态环境分区管控实施方案&gt;的通知》（苏环办字[2020]313号），项目所在地属于“重点管控单元”，对照苏州市市域生态环境管控要求、苏州市环境管控单元生态环境准入清单，具体分析见表1-</w:t>
            </w:r>
            <w:r>
              <w:rPr>
                <w:rFonts w:hint="eastAsia"/>
                <w:color w:val="auto"/>
                <w:sz w:val="24"/>
              </w:rPr>
              <w:t>8</w:t>
            </w:r>
            <w:r>
              <w:rPr>
                <w:color w:val="auto"/>
                <w:sz w:val="24"/>
              </w:rPr>
              <w:t>。</w:t>
            </w:r>
          </w:p>
          <w:p>
            <w:pPr>
              <w:pStyle w:val="2"/>
              <w:spacing w:line="240" w:lineRule="auto"/>
              <w:ind w:firstLine="482" w:firstLineChars="200"/>
              <w:jc w:val="center"/>
              <w:rPr>
                <w:rFonts w:ascii="Times New Roman" w:hAnsi="Times New Roman"/>
                <w:b/>
                <w:color w:val="auto"/>
                <w:sz w:val="24"/>
                <w:szCs w:val="24"/>
              </w:rPr>
            </w:pPr>
            <w:r>
              <w:rPr>
                <w:rFonts w:ascii="Times New Roman" w:hAnsi="Times New Roman"/>
                <w:b/>
                <w:color w:val="auto"/>
                <w:sz w:val="24"/>
                <w:szCs w:val="24"/>
              </w:rPr>
              <w:t>表1-</w:t>
            </w:r>
            <w:r>
              <w:rPr>
                <w:rFonts w:hint="eastAsia" w:ascii="Times New Roman" w:hAnsi="Times New Roman"/>
                <w:b/>
                <w:color w:val="auto"/>
                <w:sz w:val="24"/>
                <w:szCs w:val="24"/>
              </w:rPr>
              <w:t>8</w:t>
            </w:r>
            <w:r>
              <w:rPr>
                <w:rFonts w:ascii="Times New Roman" w:hAnsi="Times New Roman"/>
                <w:b/>
                <w:color w:val="auto"/>
                <w:sz w:val="24"/>
                <w:szCs w:val="24"/>
              </w:rPr>
              <w:t>与苏州市市域生态环境管控要求相符性分析</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3781"/>
              <w:gridCol w:w="3432"/>
              <w:gridCol w:w="460"/>
              <w:gridCol w:w="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Cs w:val="21"/>
                    </w:rPr>
                  </w:pPr>
                  <w:r>
                    <w:rPr>
                      <w:color w:val="auto"/>
                      <w:szCs w:val="21"/>
                    </w:rPr>
                    <w:t>管控类别</w:t>
                  </w:r>
                </w:p>
              </w:tc>
              <w:tc>
                <w:tcPr>
                  <w:tcW w:w="0" w:type="auto"/>
                  <w:vAlign w:val="center"/>
                </w:tcPr>
                <w:p>
                  <w:pPr>
                    <w:spacing w:line="360" w:lineRule="auto"/>
                    <w:jc w:val="center"/>
                    <w:rPr>
                      <w:color w:val="auto"/>
                      <w:szCs w:val="21"/>
                    </w:rPr>
                  </w:pPr>
                  <w:r>
                    <w:rPr>
                      <w:color w:val="auto"/>
                      <w:szCs w:val="21"/>
                    </w:rPr>
                    <w:t>苏州市市域生态环境管控要求</w:t>
                  </w:r>
                </w:p>
              </w:tc>
              <w:tc>
                <w:tcPr>
                  <w:tcW w:w="0" w:type="auto"/>
                  <w:vAlign w:val="center"/>
                </w:tcPr>
                <w:p>
                  <w:pPr>
                    <w:spacing w:line="360" w:lineRule="auto"/>
                    <w:jc w:val="center"/>
                    <w:rPr>
                      <w:color w:val="auto"/>
                      <w:szCs w:val="21"/>
                    </w:rPr>
                  </w:pPr>
                  <w:r>
                    <w:rPr>
                      <w:color w:val="auto"/>
                      <w:szCs w:val="21"/>
                    </w:rPr>
                    <w:t>本项目情况</w:t>
                  </w:r>
                </w:p>
              </w:tc>
              <w:tc>
                <w:tcPr>
                  <w:tcW w:w="0" w:type="auto"/>
                  <w:vAlign w:val="center"/>
                </w:tcPr>
                <w:p>
                  <w:pPr>
                    <w:spacing w:line="360" w:lineRule="auto"/>
                    <w:jc w:val="center"/>
                    <w:rPr>
                      <w:color w:val="auto"/>
                      <w:szCs w:val="21"/>
                    </w:rPr>
                  </w:pPr>
                  <w:r>
                    <w:rPr>
                      <w:color w:val="auto"/>
                      <w:szCs w:val="21"/>
                    </w:rPr>
                    <w:t>相符性</w:t>
                  </w:r>
                </w:p>
              </w:tc>
              <w:tc>
                <w:tcPr>
                  <w:tcW w:w="0" w:type="auto"/>
                  <w:vAlign w:val="center"/>
                </w:tcPr>
                <w:p>
                  <w:pPr>
                    <w:spacing w:line="360"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Cs w:val="21"/>
                    </w:rPr>
                  </w:pPr>
                  <w:r>
                    <w:rPr>
                      <w:color w:val="auto"/>
                      <w:szCs w:val="21"/>
                    </w:rPr>
                    <w:t>空间布局约束</w:t>
                  </w:r>
                </w:p>
              </w:tc>
              <w:tc>
                <w:tcPr>
                  <w:tcW w:w="0" w:type="auto"/>
                  <w:vAlign w:val="center"/>
                </w:tcPr>
                <w:p>
                  <w:pPr>
                    <w:spacing w:line="360" w:lineRule="auto"/>
                    <w:jc w:val="center"/>
                    <w:rPr>
                      <w:color w:val="auto"/>
                      <w:szCs w:val="21"/>
                    </w:rPr>
                  </w:pPr>
                  <w:r>
                    <w:rPr>
                      <w:color w:val="auto"/>
                      <w:szCs w:val="21"/>
                    </w:rPr>
                    <w:t>（1）严格执行《江苏省“三线一单”生态环境分区管控方案》（苏政发[2020]49号）附件3江苏省省域生态环境管控要求中“空间布局约束”的相关要求。（2）按照《省政府关于印发江苏省生态空间管控区域规划的通知》（苏政发[2020]1号）、《省政府关于印发江苏省国家级生态保护红线规划的通知》（苏政发[2018]74号），坚持节约优先、保护优先、自然恢复为主的方针，以改善生态环境质量为核心，以保障和维护生态功能为主线，统筹山水林田湖草一体化保护和修复，严守生态保护红线，实行最严格的生态空间管控制度，确保全市生态功能不降低、面积不减少、性质不改变，切实维护生态安全。（3）严格执行《苏州市水污染防治工作方案》(苏府[2016]60号)、《苏州市大气污染防治行动计划实施方案》（苏府[2014]81号）、《苏州市土壤污染防治工作方案》（苏府[2017]102号）、《中共苏州市委苏州市人民政府关于全面加强生态环境保护坚决打好污染防治攻坚战的工作意见》（苏委发[2019]17号）、《苏州市“两减六治三提升”专项行动实施方案》（苏委发[2017]13号）、《苏州市“两减六治三提升”13个专项行动实施方案》（苏府办[2017]108号）、《苏州市勇当“两个标杆”落实“四个突出”建设“四个名城”十二项三年行动计划（2018-2020年）》（苏委发[2018]6号）等文件要求。全市太湖、阳澄湖保护区执行《江苏省太湖水污染防治条例》《苏州市阳澄湖水源水质保护条例》等文件要求。（4）根据《苏州市长江经济带生态环境保护实施方案（2018-2020年）》及《中共苏州市委苏州市人民政府关于全面加强生态环境保护坚决打好污染防治攻坚战的工作意见》，围绕新一代信息技术、生物医药、新能源、新材料等领域，大力发展新兴产业。加快城市建成区内钢铁、石化、化工、有色金属冶炼、水泥、平板玻璃等重污染企业和危险化学品企业搬迁改造。提升开发利用区岸线使用效率，合理安排沿江工业和港口岸线、过江通道岸线、取排水口岸线；控制工贸和港口企业无序占用岸线，推进公共码头建设；推动既有危化品码头分类整合，逐步实施功能调整，提高资源利用效率。严禁在长江干流及主要支流岸线1公里范围内新建布局危化品码头、化工园区和化工企业，严控危化品码头建设。（5）禁止引进列入《苏州市产业发展导向目录》禁止淘汰类的产业。</w:t>
                  </w:r>
                </w:p>
              </w:tc>
              <w:tc>
                <w:tcPr>
                  <w:tcW w:w="0" w:type="auto"/>
                  <w:vAlign w:val="center"/>
                </w:tcPr>
                <w:p>
                  <w:pPr>
                    <w:spacing w:line="360" w:lineRule="auto"/>
                    <w:jc w:val="center"/>
                    <w:rPr>
                      <w:color w:val="auto"/>
                      <w:szCs w:val="21"/>
                    </w:rPr>
                  </w:pPr>
                  <w:r>
                    <w:rPr>
                      <w:color w:val="auto"/>
                      <w:szCs w:val="21"/>
                    </w:rPr>
                    <w:t>本项目为新建自用危险化学品专用仓库项目，项目所在地常熟市东南街道庐山路68号，距离本项目最近的为西南侧的</w:t>
                  </w:r>
                  <w:r>
                    <w:rPr>
                      <w:color w:val="auto"/>
                      <w:kern w:val="0"/>
                      <w:szCs w:val="21"/>
                    </w:rPr>
                    <w:t>沙家浜-昆承湖重要湿地约2.2km</w:t>
                  </w:r>
                  <w:r>
                    <w:rPr>
                      <w:color w:val="auto"/>
                      <w:szCs w:val="21"/>
                    </w:rPr>
                    <w:t>，不在其保护区范围内，与生态空间管控区域规划要求相符。本项目严格落实各项文件要求，本项目不属于《苏州市产业发展导向目录》禁止淘汰类的产业，本项目不涉及港口建设，不涉及钢铁、石化、化工、焦化、建材、有色化工原料等高污染行业及严重过剩产能行业。</w:t>
                  </w:r>
                </w:p>
              </w:tc>
              <w:tc>
                <w:tcPr>
                  <w:tcW w:w="0" w:type="auto"/>
                  <w:vAlign w:val="center"/>
                </w:tcPr>
                <w:p>
                  <w:pPr>
                    <w:spacing w:line="360" w:lineRule="auto"/>
                    <w:jc w:val="center"/>
                    <w:rPr>
                      <w:color w:val="auto"/>
                      <w:szCs w:val="21"/>
                    </w:rPr>
                  </w:pPr>
                  <w:r>
                    <w:rPr>
                      <w:color w:val="auto"/>
                      <w:szCs w:val="21"/>
                    </w:rPr>
                    <w:t>相符</w:t>
                  </w:r>
                </w:p>
              </w:tc>
              <w:tc>
                <w:tcPr>
                  <w:tcW w:w="0" w:type="auto"/>
                  <w:vAlign w:val="center"/>
                </w:tcPr>
                <w:p>
                  <w:pPr>
                    <w:spacing w:line="360"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Cs w:val="21"/>
                    </w:rPr>
                  </w:pPr>
                  <w:r>
                    <w:rPr>
                      <w:color w:val="auto"/>
                      <w:szCs w:val="21"/>
                    </w:rPr>
                    <w:t>污染物排放管控</w:t>
                  </w:r>
                </w:p>
              </w:tc>
              <w:tc>
                <w:tcPr>
                  <w:tcW w:w="0" w:type="auto"/>
                  <w:vAlign w:val="center"/>
                </w:tcPr>
                <w:p>
                  <w:pPr>
                    <w:spacing w:line="360" w:lineRule="auto"/>
                    <w:jc w:val="center"/>
                    <w:rPr>
                      <w:color w:val="auto"/>
                      <w:szCs w:val="21"/>
                    </w:rPr>
                  </w:pPr>
                  <w:r>
                    <w:rPr>
                      <w:color w:val="auto"/>
                      <w:szCs w:val="21"/>
                    </w:rPr>
                    <w:t>1.坚持生态环境质量只能更好、不能变坏，实施污染物总量控制，以环境容量定产业、定项目、定规模，确保开发建设行为不捅破生态环境承载力。2.2020年苏州市化学需氧量、氨氮、总氮、总磷、二氧化硫、氮氧化物、烟粉尘排放量不得超过5.77万吨/年、1.15万吨/年、2.97万吨/年、0.23万吨/年、12.06万吨/年、15.90万吨/年、6.36万吨/年。2025年苏州市主要污染物排放量达到省定要求。3.严格新建项目总量前置审批，新建项目实行区域内现役源按相关要求等量或减量替代。</w:t>
                  </w:r>
                </w:p>
              </w:tc>
              <w:tc>
                <w:tcPr>
                  <w:tcW w:w="0" w:type="auto"/>
                  <w:vAlign w:val="center"/>
                </w:tcPr>
                <w:p>
                  <w:pPr>
                    <w:spacing w:line="360" w:lineRule="auto"/>
                    <w:jc w:val="center"/>
                    <w:rPr>
                      <w:color w:val="auto"/>
                      <w:szCs w:val="21"/>
                    </w:rPr>
                  </w:pPr>
                  <w:r>
                    <w:rPr>
                      <w:color w:val="auto"/>
                      <w:szCs w:val="21"/>
                    </w:rPr>
                    <w:t>本项目无废气、废水、固废产生，对周围环境影响较小。</w:t>
                  </w:r>
                </w:p>
              </w:tc>
              <w:tc>
                <w:tcPr>
                  <w:tcW w:w="0" w:type="auto"/>
                  <w:vAlign w:val="center"/>
                </w:tcPr>
                <w:p>
                  <w:pPr>
                    <w:spacing w:line="360" w:lineRule="auto"/>
                    <w:jc w:val="center"/>
                    <w:rPr>
                      <w:color w:val="auto"/>
                      <w:szCs w:val="21"/>
                    </w:rPr>
                  </w:pPr>
                  <w:r>
                    <w:rPr>
                      <w:color w:val="auto"/>
                      <w:szCs w:val="21"/>
                    </w:rPr>
                    <w:t>相符</w:t>
                  </w:r>
                </w:p>
              </w:tc>
              <w:tc>
                <w:tcPr>
                  <w:tcW w:w="0" w:type="auto"/>
                  <w:vAlign w:val="center"/>
                </w:tcPr>
                <w:p>
                  <w:pPr>
                    <w:spacing w:line="360"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Cs w:val="21"/>
                    </w:rPr>
                  </w:pPr>
                  <w:r>
                    <w:rPr>
                      <w:color w:val="auto"/>
                      <w:szCs w:val="21"/>
                    </w:rPr>
                    <w:t>环境风险防控</w:t>
                  </w:r>
                </w:p>
              </w:tc>
              <w:tc>
                <w:tcPr>
                  <w:tcW w:w="0" w:type="auto"/>
                  <w:vAlign w:val="center"/>
                </w:tcPr>
                <w:p>
                  <w:pPr>
                    <w:spacing w:line="360" w:lineRule="auto"/>
                    <w:jc w:val="center"/>
                    <w:rPr>
                      <w:color w:val="auto"/>
                      <w:szCs w:val="21"/>
                    </w:rPr>
                  </w:pPr>
                  <w:r>
                    <w:rPr>
                      <w:color w:val="auto"/>
                      <w:szCs w:val="21"/>
                    </w:rPr>
                    <w:t>1.严格执行《江苏省“三线一单”生态环境分区管控方案》(苏政发[2020]49号)附件3江苏省省域生态环境管控要求中“环境风险防控”的相关要求。2.强化饮用水水源环境风险管控，县级以上城市全部建成应急水源或双源供水。3.落实《苏州市突发环境事件应急预案》。完善市、县级市（区）两级突发环境事件应急响应体系，定期组织演练，提高应急处置能力。</w:t>
                  </w:r>
                </w:p>
              </w:tc>
              <w:tc>
                <w:tcPr>
                  <w:tcW w:w="0" w:type="auto"/>
                  <w:vAlign w:val="center"/>
                </w:tcPr>
                <w:p>
                  <w:pPr>
                    <w:spacing w:line="360" w:lineRule="auto"/>
                    <w:jc w:val="center"/>
                    <w:rPr>
                      <w:color w:val="auto"/>
                      <w:szCs w:val="21"/>
                    </w:rPr>
                  </w:pPr>
                  <w:r>
                    <w:rPr>
                      <w:color w:val="auto"/>
                      <w:szCs w:val="21"/>
                    </w:rPr>
                    <w:t>本项目建成后将制定环境风险应急预案，同时企业内储备有足够的环境应急物资，实现环境风险联防联控，故能满足环境风险防控的相关要求。</w:t>
                  </w:r>
                </w:p>
              </w:tc>
              <w:tc>
                <w:tcPr>
                  <w:tcW w:w="0" w:type="auto"/>
                  <w:vAlign w:val="center"/>
                </w:tcPr>
                <w:p>
                  <w:pPr>
                    <w:spacing w:line="360" w:lineRule="auto"/>
                    <w:jc w:val="center"/>
                    <w:rPr>
                      <w:color w:val="auto"/>
                      <w:szCs w:val="21"/>
                    </w:rPr>
                  </w:pPr>
                  <w:r>
                    <w:rPr>
                      <w:color w:val="auto"/>
                      <w:szCs w:val="21"/>
                    </w:rPr>
                    <w:t>相符</w:t>
                  </w:r>
                </w:p>
              </w:tc>
              <w:tc>
                <w:tcPr>
                  <w:tcW w:w="0" w:type="auto"/>
                  <w:vAlign w:val="center"/>
                </w:tcPr>
                <w:p>
                  <w:pPr>
                    <w:spacing w:line="360"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Cs w:val="21"/>
                    </w:rPr>
                  </w:pPr>
                  <w:r>
                    <w:rPr>
                      <w:color w:val="auto"/>
                      <w:szCs w:val="21"/>
                    </w:rPr>
                    <w:t>资源利用效率要求</w:t>
                  </w:r>
                </w:p>
              </w:tc>
              <w:tc>
                <w:tcPr>
                  <w:tcW w:w="0" w:type="auto"/>
                  <w:vAlign w:val="center"/>
                </w:tcPr>
                <w:p>
                  <w:pPr>
                    <w:spacing w:line="360" w:lineRule="auto"/>
                    <w:jc w:val="center"/>
                    <w:rPr>
                      <w:color w:val="auto"/>
                      <w:szCs w:val="21"/>
                    </w:rPr>
                  </w:pPr>
                  <w:r>
                    <w:rPr>
                      <w:color w:val="auto"/>
                      <w:szCs w:val="21"/>
                    </w:rPr>
                    <w:t>1.2020年苏州市用水总量不得超过63.26亿立方米。2.2020年苏州市耕地保有量不低于19.86万公顷，永久基本农田保护面积不低于16.86万公顷。3.禁燃区禁止新建、扩建燃用高污染燃料的项目和设施，已建成的应逐步或依法限期改用天然气、电或者其他清洁能源。</w:t>
                  </w:r>
                </w:p>
              </w:tc>
              <w:tc>
                <w:tcPr>
                  <w:tcW w:w="0" w:type="auto"/>
                  <w:vAlign w:val="center"/>
                </w:tcPr>
                <w:p>
                  <w:pPr>
                    <w:spacing w:line="360" w:lineRule="auto"/>
                    <w:jc w:val="center"/>
                    <w:rPr>
                      <w:color w:val="auto"/>
                      <w:szCs w:val="21"/>
                    </w:rPr>
                  </w:pPr>
                  <w:r>
                    <w:rPr>
                      <w:color w:val="auto"/>
                      <w:szCs w:val="21"/>
                    </w:rPr>
                    <w:t>本项目不使用高污染燃料，满足资源利用效率要求。</w:t>
                  </w:r>
                </w:p>
              </w:tc>
              <w:tc>
                <w:tcPr>
                  <w:tcW w:w="0" w:type="auto"/>
                  <w:vAlign w:val="center"/>
                </w:tcPr>
                <w:p>
                  <w:pPr>
                    <w:spacing w:line="360" w:lineRule="auto"/>
                    <w:jc w:val="center"/>
                    <w:rPr>
                      <w:color w:val="auto"/>
                      <w:szCs w:val="21"/>
                    </w:rPr>
                  </w:pPr>
                </w:p>
              </w:tc>
              <w:tc>
                <w:tcPr>
                  <w:tcW w:w="0" w:type="auto"/>
                  <w:vAlign w:val="center"/>
                </w:tcPr>
                <w:p>
                  <w:pPr>
                    <w:spacing w:line="360" w:lineRule="auto"/>
                    <w:jc w:val="center"/>
                    <w:rPr>
                      <w:color w:val="auto"/>
                      <w:szCs w:val="21"/>
                    </w:rPr>
                  </w:pPr>
                </w:p>
              </w:tc>
            </w:tr>
          </w:tbl>
          <w:p>
            <w:pPr>
              <w:jc w:val="center"/>
              <w:rPr>
                <w:b/>
                <w:bCs/>
                <w:color w:val="auto"/>
                <w:sz w:val="24"/>
              </w:rPr>
            </w:pPr>
            <w:r>
              <w:rPr>
                <w:b/>
                <w:bCs/>
                <w:color w:val="auto"/>
                <w:sz w:val="24"/>
              </w:rPr>
              <w:t>表1-</w:t>
            </w:r>
            <w:r>
              <w:rPr>
                <w:rFonts w:hint="eastAsia"/>
                <w:b/>
                <w:bCs/>
                <w:color w:val="auto"/>
                <w:sz w:val="24"/>
              </w:rPr>
              <w:t>9</w:t>
            </w:r>
            <w:r>
              <w:rPr>
                <w:b/>
                <w:bCs/>
                <w:color w:val="auto"/>
                <w:sz w:val="24"/>
              </w:rPr>
              <w:t>与苏州市环境管控单元生态环境准入清单相符性分析</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527"/>
              <w:gridCol w:w="2865"/>
              <w:gridCol w:w="4017"/>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447" w:type="dxa"/>
                  <w:noWrap/>
                  <w:vAlign w:val="center"/>
                </w:tcPr>
                <w:p>
                  <w:pPr>
                    <w:pStyle w:val="2"/>
                    <w:snapToGrid w:val="0"/>
                    <w:jc w:val="center"/>
                    <w:outlineLvl w:val="2"/>
                    <w:rPr>
                      <w:rFonts w:ascii="Times New Roman" w:hAnsi="Times New Roman"/>
                      <w:b/>
                      <w:color w:val="auto"/>
                      <w:sz w:val="21"/>
                      <w:szCs w:val="21"/>
                    </w:rPr>
                  </w:pPr>
                  <w:r>
                    <w:rPr>
                      <w:rFonts w:ascii="Times New Roman" w:hAnsi="Times New Roman"/>
                      <w:b/>
                      <w:color w:val="auto"/>
                      <w:sz w:val="21"/>
                      <w:szCs w:val="21"/>
                    </w:rPr>
                    <w:t>序号</w:t>
                  </w:r>
                </w:p>
              </w:tc>
              <w:tc>
                <w:tcPr>
                  <w:tcW w:w="527" w:type="dxa"/>
                  <w:noWrap/>
                  <w:vAlign w:val="center"/>
                </w:tcPr>
                <w:p>
                  <w:pPr>
                    <w:widowControl/>
                    <w:adjustRightInd w:val="0"/>
                    <w:snapToGrid w:val="0"/>
                    <w:spacing w:line="360" w:lineRule="auto"/>
                    <w:jc w:val="center"/>
                    <w:rPr>
                      <w:b/>
                      <w:bCs/>
                      <w:color w:val="auto"/>
                      <w:szCs w:val="21"/>
                    </w:rPr>
                  </w:pPr>
                  <w:r>
                    <w:rPr>
                      <w:b/>
                      <w:bCs/>
                      <w:color w:val="auto"/>
                      <w:szCs w:val="21"/>
                    </w:rPr>
                    <w:t>管控类别</w:t>
                  </w:r>
                </w:p>
              </w:tc>
              <w:tc>
                <w:tcPr>
                  <w:tcW w:w="2865" w:type="dxa"/>
                  <w:noWrap/>
                  <w:vAlign w:val="center"/>
                </w:tcPr>
                <w:p>
                  <w:pPr>
                    <w:adjustRightInd w:val="0"/>
                    <w:snapToGrid w:val="0"/>
                    <w:spacing w:line="360" w:lineRule="auto"/>
                    <w:jc w:val="center"/>
                    <w:rPr>
                      <w:b/>
                      <w:bCs/>
                      <w:color w:val="auto"/>
                      <w:szCs w:val="21"/>
                    </w:rPr>
                  </w:pPr>
                  <w:r>
                    <w:rPr>
                      <w:b/>
                      <w:bCs/>
                      <w:color w:val="auto"/>
                      <w:szCs w:val="21"/>
                    </w:rPr>
                    <w:t>重点管控要求</w:t>
                  </w:r>
                </w:p>
              </w:tc>
              <w:tc>
                <w:tcPr>
                  <w:tcW w:w="4017" w:type="dxa"/>
                  <w:noWrap/>
                  <w:vAlign w:val="center"/>
                </w:tcPr>
                <w:p>
                  <w:pPr>
                    <w:adjustRightInd w:val="0"/>
                    <w:snapToGrid w:val="0"/>
                    <w:spacing w:line="360" w:lineRule="auto"/>
                    <w:jc w:val="center"/>
                    <w:rPr>
                      <w:b/>
                      <w:bCs/>
                      <w:color w:val="auto"/>
                      <w:szCs w:val="21"/>
                    </w:rPr>
                  </w:pPr>
                  <w:r>
                    <w:rPr>
                      <w:b/>
                      <w:bCs/>
                      <w:color w:val="auto"/>
                      <w:szCs w:val="21"/>
                    </w:rPr>
                    <w:t>本项目</w:t>
                  </w:r>
                </w:p>
              </w:tc>
              <w:tc>
                <w:tcPr>
                  <w:tcW w:w="467" w:type="dxa"/>
                  <w:noWrap/>
                  <w:vAlign w:val="center"/>
                </w:tcPr>
                <w:p>
                  <w:pPr>
                    <w:widowControl/>
                    <w:adjustRightInd w:val="0"/>
                    <w:snapToGrid w:val="0"/>
                    <w:spacing w:line="360" w:lineRule="auto"/>
                    <w:jc w:val="center"/>
                    <w:rPr>
                      <w:b/>
                      <w:bCs/>
                      <w:color w:val="auto"/>
                      <w:szCs w:val="21"/>
                    </w:rPr>
                  </w:pPr>
                  <w:r>
                    <w:rPr>
                      <w:b/>
                      <w:bCs/>
                      <w:color w:val="auto"/>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447" w:type="dxa"/>
                  <w:noWrap/>
                  <w:vAlign w:val="center"/>
                </w:tcPr>
                <w:p>
                  <w:pPr>
                    <w:spacing w:line="360" w:lineRule="auto"/>
                    <w:jc w:val="center"/>
                    <w:rPr>
                      <w:color w:val="auto"/>
                      <w:szCs w:val="21"/>
                    </w:rPr>
                  </w:pPr>
                  <w:r>
                    <w:rPr>
                      <w:color w:val="auto"/>
                      <w:szCs w:val="21"/>
                    </w:rPr>
                    <w:t>1</w:t>
                  </w:r>
                </w:p>
              </w:tc>
              <w:tc>
                <w:tcPr>
                  <w:tcW w:w="527" w:type="dxa"/>
                  <w:noWrap/>
                  <w:vAlign w:val="center"/>
                </w:tcPr>
                <w:p>
                  <w:pPr>
                    <w:spacing w:line="360" w:lineRule="auto"/>
                    <w:jc w:val="center"/>
                    <w:rPr>
                      <w:color w:val="auto"/>
                      <w:szCs w:val="21"/>
                    </w:rPr>
                  </w:pPr>
                  <w:r>
                    <w:rPr>
                      <w:color w:val="auto"/>
                      <w:szCs w:val="21"/>
                    </w:rPr>
                    <w:t>空间布局约束</w:t>
                  </w:r>
                </w:p>
              </w:tc>
              <w:tc>
                <w:tcPr>
                  <w:tcW w:w="2865" w:type="dxa"/>
                  <w:noWrap/>
                  <w:vAlign w:val="center"/>
                </w:tcPr>
                <w:p>
                  <w:pPr>
                    <w:spacing w:line="264" w:lineRule="auto"/>
                    <w:jc w:val="center"/>
                    <w:rPr>
                      <w:color w:val="auto"/>
                    </w:rPr>
                  </w:pPr>
                  <w:r>
                    <w:rPr>
                      <w:color w:val="auto"/>
                    </w:rPr>
                    <w:t>（1）禁止引进列入《产业结构调整指导目录》、《江苏省工业和信息产业结构调整指导目录》、《江苏省工业和信息产业结构调整、限制、淘汰目录及能耗限额》淘汰类的产业；禁止引进列入《外商投资产业指导目录》禁止类的产业。</w:t>
                  </w:r>
                </w:p>
                <w:p>
                  <w:pPr>
                    <w:spacing w:line="264" w:lineRule="auto"/>
                    <w:jc w:val="center"/>
                    <w:rPr>
                      <w:color w:val="auto"/>
                    </w:rPr>
                  </w:pPr>
                  <w:r>
                    <w:rPr>
                      <w:color w:val="auto"/>
                    </w:rPr>
                    <w:t>（2）禁止引进不符合园区产业准入要求的项目。</w:t>
                  </w:r>
                </w:p>
                <w:p>
                  <w:pPr>
                    <w:spacing w:line="264" w:lineRule="auto"/>
                    <w:jc w:val="center"/>
                    <w:rPr>
                      <w:color w:val="auto"/>
                    </w:rPr>
                  </w:pPr>
                  <w:r>
                    <w:rPr>
                      <w:color w:val="auto"/>
                    </w:rPr>
                    <w:t>（3）严格执行《江苏省太湖水污染防治条例》的分级保护要求，禁止引进不符合《条例》要求的项目。</w:t>
                  </w:r>
                </w:p>
                <w:p>
                  <w:pPr>
                    <w:spacing w:line="264" w:lineRule="auto"/>
                    <w:jc w:val="center"/>
                    <w:rPr>
                      <w:color w:val="auto"/>
                    </w:rPr>
                  </w:pPr>
                  <w:r>
                    <w:rPr>
                      <w:color w:val="auto"/>
                    </w:rPr>
                    <w:t>（4）严格执行《阳澄湖水源水质保护条例》相关管控要求。</w:t>
                  </w:r>
                </w:p>
                <w:p>
                  <w:pPr>
                    <w:spacing w:line="264" w:lineRule="auto"/>
                    <w:jc w:val="center"/>
                    <w:rPr>
                      <w:color w:val="auto"/>
                    </w:rPr>
                  </w:pPr>
                  <w:r>
                    <w:rPr>
                      <w:color w:val="auto"/>
                    </w:rPr>
                    <w:t>（5）严格执行《中华人民共和国长江保护法》。</w:t>
                  </w:r>
                </w:p>
                <w:p>
                  <w:pPr>
                    <w:spacing w:line="264" w:lineRule="auto"/>
                    <w:jc w:val="center"/>
                    <w:rPr>
                      <w:color w:val="auto"/>
                    </w:rPr>
                  </w:pPr>
                  <w:r>
                    <w:rPr>
                      <w:color w:val="auto"/>
                    </w:rPr>
                    <w:t>（6）禁止引进列入上级生态环境负面清单的项目。</w:t>
                  </w:r>
                </w:p>
              </w:tc>
              <w:tc>
                <w:tcPr>
                  <w:tcW w:w="4017" w:type="dxa"/>
                  <w:noWrap/>
                  <w:vAlign w:val="center"/>
                </w:tcPr>
                <w:p>
                  <w:pPr>
                    <w:spacing w:line="264" w:lineRule="auto"/>
                    <w:jc w:val="center"/>
                    <w:rPr>
                      <w:color w:val="auto"/>
                    </w:rPr>
                  </w:pPr>
                  <w:r>
                    <w:rPr>
                      <w:color w:val="auto"/>
                    </w:rPr>
                    <w:t>（1）本项目为外资项目，不属于《产业结构调整指导目录（2024年本）》中鼓励类、限制类和淘汰类项目，不属于《江苏省工业和信息产业结构调整指导目录（2012年本）》（《关于修改部分条目的通知》，苏经信产业[2013]183号，2013年3月15日）限制类和淘汰类项目，不属于《江苏省工业和信息产业结构调整、限制、淘汰目录及能耗限额》（苏政办发[2015]118号）限制和淘汰类项目，为允许类项目。</w:t>
                  </w:r>
                </w:p>
                <w:p>
                  <w:pPr>
                    <w:spacing w:line="264" w:lineRule="auto"/>
                    <w:jc w:val="center"/>
                    <w:rPr>
                      <w:color w:val="auto"/>
                    </w:rPr>
                  </w:pPr>
                  <w:r>
                    <w:rPr>
                      <w:color w:val="auto"/>
                    </w:rPr>
                    <w:t>（2）本项目符合常熟高新技术产业开发区产业准入要求。</w:t>
                  </w:r>
                </w:p>
                <w:p>
                  <w:pPr>
                    <w:spacing w:line="264" w:lineRule="auto"/>
                    <w:jc w:val="center"/>
                    <w:rPr>
                      <w:color w:val="auto"/>
                    </w:rPr>
                  </w:pPr>
                  <w:r>
                    <w:rPr>
                      <w:color w:val="auto"/>
                    </w:rPr>
                    <w:t>（3）本项目无废水排放，符合《江苏省太湖水污染防治条例》、《中华人民共和国长江保护法》的要求。</w:t>
                  </w:r>
                </w:p>
                <w:p>
                  <w:pPr>
                    <w:spacing w:line="264" w:lineRule="auto"/>
                    <w:jc w:val="center"/>
                    <w:rPr>
                      <w:color w:val="auto"/>
                    </w:rPr>
                  </w:pPr>
                  <w:r>
                    <w:rPr>
                      <w:color w:val="auto"/>
                    </w:rPr>
                    <w:t>（4）本项目不在《阳澄湖水源水质保护条例》的管控范围内。</w:t>
                  </w:r>
                </w:p>
                <w:p>
                  <w:pPr>
                    <w:spacing w:line="264" w:lineRule="auto"/>
                    <w:jc w:val="center"/>
                    <w:rPr>
                      <w:color w:val="auto"/>
                    </w:rPr>
                  </w:pPr>
                  <w:r>
                    <w:rPr>
                      <w:color w:val="auto"/>
                    </w:rPr>
                    <w:t>（5）本项目不属于上级生态环境负面清单中的项目。</w:t>
                  </w:r>
                </w:p>
              </w:tc>
              <w:tc>
                <w:tcPr>
                  <w:tcW w:w="467" w:type="dxa"/>
                  <w:noWrap/>
                  <w:vAlign w:val="center"/>
                </w:tcPr>
                <w:p>
                  <w:pPr>
                    <w:spacing w:line="360" w:lineRule="auto"/>
                    <w:jc w:val="center"/>
                    <w:rPr>
                      <w:color w:val="auto"/>
                      <w:szCs w:val="21"/>
                    </w:rPr>
                  </w:pPr>
                </w:p>
                <w:p>
                  <w:pPr>
                    <w:spacing w:line="360"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ign w:val="center"/>
                </w:tcPr>
                <w:p>
                  <w:pPr>
                    <w:spacing w:line="360" w:lineRule="auto"/>
                    <w:jc w:val="center"/>
                    <w:rPr>
                      <w:color w:val="auto"/>
                      <w:szCs w:val="21"/>
                    </w:rPr>
                  </w:pPr>
                  <w:r>
                    <w:rPr>
                      <w:color w:val="auto"/>
                      <w:szCs w:val="21"/>
                    </w:rPr>
                    <w:t>2</w:t>
                  </w:r>
                </w:p>
              </w:tc>
              <w:tc>
                <w:tcPr>
                  <w:tcW w:w="527" w:type="dxa"/>
                  <w:noWrap/>
                  <w:vAlign w:val="center"/>
                </w:tcPr>
                <w:p>
                  <w:pPr>
                    <w:spacing w:line="360" w:lineRule="auto"/>
                    <w:jc w:val="center"/>
                    <w:rPr>
                      <w:color w:val="auto"/>
                      <w:szCs w:val="21"/>
                    </w:rPr>
                  </w:pPr>
                  <w:r>
                    <w:rPr>
                      <w:color w:val="auto"/>
                      <w:szCs w:val="21"/>
                    </w:rPr>
                    <w:t>污染物排放管</w:t>
                  </w:r>
                </w:p>
                <w:p>
                  <w:pPr>
                    <w:spacing w:line="360" w:lineRule="auto"/>
                    <w:jc w:val="center"/>
                    <w:rPr>
                      <w:color w:val="auto"/>
                      <w:szCs w:val="21"/>
                    </w:rPr>
                  </w:pPr>
                  <w:r>
                    <w:rPr>
                      <w:color w:val="auto"/>
                      <w:szCs w:val="21"/>
                    </w:rPr>
                    <w:t>控</w:t>
                  </w:r>
                </w:p>
              </w:tc>
              <w:tc>
                <w:tcPr>
                  <w:tcW w:w="2865" w:type="dxa"/>
                  <w:noWrap/>
                  <w:vAlign w:val="center"/>
                </w:tcPr>
                <w:p>
                  <w:pPr>
                    <w:spacing w:line="264" w:lineRule="auto"/>
                    <w:jc w:val="center"/>
                    <w:rPr>
                      <w:color w:val="auto"/>
                    </w:rPr>
                  </w:pPr>
                  <w:r>
                    <w:rPr>
                      <w:color w:val="auto"/>
                    </w:rPr>
                    <w:t>（1）园区内企业污染物排放应满足相关国家、地方污染物排放标准要求。</w:t>
                  </w:r>
                </w:p>
                <w:p>
                  <w:pPr>
                    <w:spacing w:line="264" w:lineRule="auto"/>
                    <w:jc w:val="center"/>
                    <w:rPr>
                      <w:color w:val="auto"/>
                    </w:rPr>
                  </w:pPr>
                  <w:r>
                    <w:rPr>
                      <w:color w:val="auto"/>
                    </w:rPr>
                    <w:t>（2）严格实施污染物总量控制制度，根据区域环境质量改善目标，采取有效措施减少主要污染物排放总量，确保区域环境质量持续改善。</w:t>
                  </w:r>
                </w:p>
              </w:tc>
              <w:tc>
                <w:tcPr>
                  <w:tcW w:w="4017" w:type="dxa"/>
                  <w:noWrap/>
                  <w:vAlign w:val="center"/>
                </w:tcPr>
                <w:p>
                  <w:pPr>
                    <w:spacing w:line="264" w:lineRule="auto"/>
                    <w:jc w:val="center"/>
                    <w:rPr>
                      <w:color w:val="auto"/>
                    </w:rPr>
                  </w:pPr>
                  <w:r>
                    <w:rPr>
                      <w:color w:val="auto"/>
                    </w:rPr>
                    <w:t>本项目无废气、废水产生，对周边环境影响较小。噪声达到国家、地方污染物排放标准要求。</w:t>
                  </w:r>
                </w:p>
              </w:tc>
              <w:tc>
                <w:tcPr>
                  <w:tcW w:w="467" w:type="dxa"/>
                  <w:noWrap/>
                  <w:vAlign w:val="center"/>
                </w:tcPr>
                <w:p>
                  <w:pPr>
                    <w:spacing w:line="360"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ign w:val="center"/>
                </w:tcPr>
                <w:p>
                  <w:pPr>
                    <w:spacing w:line="360" w:lineRule="auto"/>
                    <w:jc w:val="center"/>
                    <w:rPr>
                      <w:color w:val="auto"/>
                      <w:szCs w:val="21"/>
                    </w:rPr>
                  </w:pPr>
                  <w:r>
                    <w:rPr>
                      <w:color w:val="auto"/>
                      <w:szCs w:val="21"/>
                    </w:rPr>
                    <w:t>3</w:t>
                  </w:r>
                </w:p>
              </w:tc>
              <w:tc>
                <w:tcPr>
                  <w:tcW w:w="527" w:type="dxa"/>
                  <w:noWrap/>
                  <w:vAlign w:val="center"/>
                </w:tcPr>
                <w:p>
                  <w:pPr>
                    <w:spacing w:line="360" w:lineRule="auto"/>
                    <w:jc w:val="center"/>
                    <w:rPr>
                      <w:color w:val="auto"/>
                      <w:szCs w:val="21"/>
                    </w:rPr>
                  </w:pPr>
                  <w:r>
                    <w:rPr>
                      <w:color w:val="auto"/>
                      <w:szCs w:val="21"/>
                    </w:rPr>
                    <w:t>环境风险防控</w:t>
                  </w:r>
                </w:p>
              </w:tc>
              <w:tc>
                <w:tcPr>
                  <w:tcW w:w="2865" w:type="dxa"/>
                  <w:noWrap/>
                  <w:vAlign w:val="center"/>
                </w:tcPr>
                <w:p>
                  <w:pPr>
                    <w:spacing w:line="264" w:lineRule="auto"/>
                    <w:jc w:val="center"/>
                    <w:rPr>
                      <w:color w:val="auto"/>
                    </w:rPr>
                  </w:pPr>
                  <w:r>
                    <w:rPr>
                      <w:color w:val="auto"/>
                    </w:rPr>
                    <w:t>涉及环境风险源的企业应严格按照国家标准和规范编制事故应急预案，并与区域环境风险应急预案实现联动，配备应急救援人员和必要的应急救援器材、设备，并定期开展事故应急演练。</w:t>
                  </w:r>
                </w:p>
              </w:tc>
              <w:tc>
                <w:tcPr>
                  <w:tcW w:w="4017" w:type="dxa"/>
                  <w:noWrap/>
                  <w:vAlign w:val="center"/>
                </w:tcPr>
                <w:p>
                  <w:pPr>
                    <w:spacing w:line="264" w:lineRule="auto"/>
                    <w:jc w:val="center"/>
                    <w:rPr>
                      <w:color w:val="auto"/>
                    </w:rPr>
                  </w:pPr>
                  <w:r>
                    <w:rPr>
                      <w:color w:val="auto"/>
                    </w:rPr>
                    <w:t>本项目建成后会按相关要求修编事故应急预案，与区域环境应急预案实现联动，配备相应应急救援人员和器材、设备，按要求定期开展事故应急演练。</w:t>
                  </w:r>
                </w:p>
              </w:tc>
              <w:tc>
                <w:tcPr>
                  <w:tcW w:w="467" w:type="dxa"/>
                  <w:noWrap/>
                  <w:vAlign w:val="center"/>
                </w:tcPr>
                <w:p>
                  <w:pPr>
                    <w:spacing w:line="360" w:lineRule="auto"/>
                    <w:jc w:val="cente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noWrap/>
                  <w:vAlign w:val="center"/>
                </w:tcPr>
                <w:p>
                  <w:pPr>
                    <w:spacing w:before="57" w:line="360" w:lineRule="auto"/>
                    <w:jc w:val="center"/>
                    <w:rPr>
                      <w:color w:val="auto"/>
                      <w:szCs w:val="21"/>
                    </w:rPr>
                  </w:pPr>
                  <w:r>
                    <w:rPr>
                      <w:color w:val="auto"/>
                      <w:szCs w:val="21"/>
                    </w:rPr>
                    <w:t>4</w:t>
                  </w:r>
                </w:p>
              </w:tc>
              <w:tc>
                <w:tcPr>
                  <w:tcW w:w="527" w:type="dxa"/>
                  <w:noWrap/>
                  <w:vAlign w:val="center"/>
                </w:tcPr>
                <w:p>
                  <w:pPr>
                    <w:spacing w:before="65" w:line="360" w:lineRule="auto"/>
                    <w:jc w:val="center"/>
                    <w:rPr>
                      <w:color w:val="auto"/>
                      <w:szCs w:val="21"/>
                    </w:rPr>
                  </w:pPr>
                  <w:r>
                    <w:rPr>
                      <w:color w:val="auto"/>
                      <w:szCs w:val="21"/>
                    </w:rPr>
                    <w:t>资源利用效率</w:t>
                  </w:r>
                </w:p>
                <w:p>
                  <w:pPr>
                    <w:spacing w:before="24" w:line="360" w:lineRule="auto"/>
                    <w:jc w:val="center"/>
                    <w:rPr>
                      <w:color w:val="auto"/>
                      <w:szCs w:val="21"/>
                    </w:rPr>
                  </w:pPr>
                  <w:r>
                    <w:rPr>
                      <w:color w:val="auto"/>
                      <w:szCs w:val="21"/>
                    </w:rPr>
                    <w:t>要求</w:t>
                  </w:r>
                </w:p>
              </w:tc>
              <w:tc>
                <w:tcPr>
                  <w:tcW w:w="2865" w:type="dxa"/>
                  <w:noWrap/>
                  <w:vAlign w:val="center"/>
                </w:tcPr>
                <w:p>
                  <w:pPr>
                    <w:spacing w:line="264" w:lineRule="auto"/>
                    <w:jc w:val="center"/>
                    <w:rPr>
                      <w:color w:val="auto"/>
                    </w:rPr>
                  </w:pPr>
                  <w:r>
                    <w:rPr>
                      <w:color w:val="auto"/>
                    </w:rPr>
                    <w:t>禁止销售使用燃料为“Ⅲ类”（严格），具体包括：1、煤炭及其制品（包括原煤、散煤、煤矸石、煤泥、煤粉、水煤浆、型煤、焦炭、兰炭等）；</w:t>
                  </w:r>
                </w:p>
                <w:p>
                  <w:pPr>
                    <w:spacing w:line="264" w:lineRule="auto"/>
                    <w:jc w:val="center"/>
                    <w:rPr>
                      <w:color w:val="auto"/>
                    </w:rPr>
                  </w:pPr>
                  <w:r>
                    <w:rPr>
                      <w:color w:val="auto"/>
                    </w:rPr>
                    <w:t>2、石油焦、油页岩、原油、重油、渣油、煤焦油；</w:t>
                  </w:r>
                </w:p>
                <w:p>
                  <w:pPr>
                    <w:spacing w:line="264" w:lineRule="auto"/>
                    <w:jc w:val="center"/>
                    <w:rPr>
                      <w:color w:val="auto"/>
                    </w:rPr>
                  </w:pPr>
                  <w:r>
                    <w:rPr>
                      <w:color w:val="auto"/>
                    </w:rPr>
                    <w:t>3、非专用锅炉或未配置高效除尘设施的专用锅炉燃用的生物质成型燃料；</w:t>
                  </w:r>
                </w:p>
                <w:p>
                  <w:pPr>
                    <w:spacing w:line="264" w:lineRule="auto"/>
                    <w:jc w:val="center"/>
                    <w:rPr>
                      <w:color w:val="auto"/>
                    </w:rPr>
                  </w:pPr>
                  <w:r>
                    <w:rPr>
                      <w:color w:val="auto"/>
                    </w:rPr>
                    <w:t>4、国家规定的其它高污染燃料。</w:t>
                  </w:r>
                </w:p>
              </w:tc>
              <w:tc>
                <w:tcPr>
                  <w:tcW w:w="4017" w:type="dxa"/>
                  <w:noWrap/>
                  <w:vAlign w:val="center"/>
                </w:tcPr>
                <w:p>
                  <w:pPr>
                    <w:spacing w:line="264" w:lineRule="auto"/>
                    <w:jc w:val="center"/>
                    <w:rPr>
                      <w:color w:val="auto"/>
                    </w:rPr>
                  </w:pPr>
                  <w:r>
                    <w:rPr>
                      <w:color w:val="auto"/>
                    </w:rPr>
                    <w:t>本项目不涉及“Ⅲ类”燃料。</w:t>
                  </w:r>
                </w:p>
              </w:tc>
              <w:tc>
                <w:tcPr>
                  <w:tcW w:w="467" w:type="dxa"/>
                  <w:noWrap/>
                  <w:vAlign w:val="center"/>
                </w:tcPr>
                <w:p>
                  <w:pPr>
                    <w:spacing w:line="360" w:lineRule="auto"/>
                    <w:jc w:val="center"/>
                    <w:rPr>
                      <w:color w:val="auto"/>
                      <w:szCs w:val="21"/>
                    </w:rPr>
                  </w:pPr>
                  <w:r>
                    <w:rPr>
                      <w:color w:val="auto"/>
                      <w:szCs w:val="21"/>
                    </w:rPr>
                    <w:t>相符</w:t>
                  </w:r>
                </w:p>
              </w:tc>
            </w:tr>
          </w:tbl>
          <w:p>
            <w:pPr>
              <w:spacing w:beforeLines="50" w:line="360" w:lineRule="auto"/>
              <w:ind w:firstLine="480" w:firstLineChars="200"/>
              <w:rPr>
                <w:color w:val="auto"/>
              </w:rPr>
            </w:pPr>
            <w:r>
              <w:rPr>
                <w:color w:val="auto"/>
                <w:sz w:val="24"/>
              </w:rPr>
              <w:t>综上所述，本项目符合“三线一单”及国家和地方产业政策的相关要求</w:t>
            </w:r>
            <w:r>
              <w:rPr>
                <w:color w:val="auto"/>
              </w:rPr>
              <w:t>。</w:t>
            </w:r>
          </w:p>
          <w:p>
            <w:pPr>
              <w:pStyle w:val="2"/>
              <w:adjustRightInd/>
              <w:ind w:firstLine="482" w:firstLineChars="200"/>
              <w:rPr>
                <w:rFonts w:ascii="Times New Roman" w:hAnsi="Times New Roman"/>
                <w:b/>
                <w:bCs w:val="0"/>
                <w:color w:val="auto"/>
                <w:sz w:val="24"/>
                <w:szCs w:val="24"/>
              </w:rPr>
            </w:pPr>
            <w:r>
              <w:rPr>
                <w:rFonts w:ascii="Times New Roman" w:hAnsi="Times New Roman"/>
                <w:b/>
                <w:bCs w:val="0"/>
                <w:color w:val="auto"/>
                <w:sz w:val="24"/>
                <w:szCs w:val="24"/>
              </w:rPr>
              <w:t>2、与产业政策相符性分析</w:t>
            </w:r>
          </w:p>
          <w:p>
            <w:pPr>
              <w:spacing w:line="360" w:lineRule="auto"/>
              <w:ind w:firstLine="480" w:firstLineChars="200"/>
              <w:rPr>
                <w:color w:val="auto"/>
              </w:rPr>
            </w:pPr>
            <w:r>
              <w:rPr>
                <w:color w:val="auto"/>
                <w:sz w:val="24"/>
              </w:rPr>
              <w:t>本项目</w:t>
            </w:r>
            <w:r>
              <w:rPr>
                <w:color w:val="auto"/>
                <w:kern w:val="0"/>
                <w:sz w:val="24"/>
              </w:rPr>
              <w:t>属于G5942危险化学品仓储，</w:t>
            </w:r>
            <w:r>
              <w:rPr>
                <w:color w:val="auto"/>
                <w:sz w:val="24"/>
              </w:rPr>
              <w:t>不属于《产业结构调整指导目录（2024年</w:t>
            </w:r>
            <w:r>
              <w:rPr>
                <w:rFonts w:hint="eastAsia"/>
                <w:color w:val="auto"/>
                <w:sz w:val="24"/>
              </w:rPr>
              <w:t>本</w:t>
            </w:r>
            <w:r>
              <w:rPr>
                <w:color w:val="auto"/>
                <w:sz w:val="24"/>
              </w:rPr>
              <w:t>）》中的鼓励类、限制类、淘汰类项目；不属于《苏州市产业发展导向目录（2007年本）》（苏州市人民政府，2007年9月）鼓励类、淘汰类、限制类、禁止类项目，属于《鼓励外商投资产业目录（2022年版）》允许类项目，本项目的建设符合国家的政策法规和产业政策。</w:t>
            </w:r>
          </w:p>
          <w:p>
            <w:pPr>
              <w:spacing w:line="360" w:lineRule="auto"/>
              <w:ind w:firstLine="482" w:firstLineChars="200"/>
              <w:rPr>
                <w:color w:val="auto"/>
                <w:sz w:val="24"/>
              </w:rPr>
            </w:pPr>
            <w:r>
              <w:rPr>
                <w:b/>
                <w:bCs/>
                <w:color w:val="auto"/>
                <w:sz w:val="24"/>
              </w:rPr>
              <w:t>表1-1</w:t>
            </w:r>
            <w:r>
              <w:rPr>
                <w:rFonts w:hint="eastAsia"/>
                <w:b/>
                <w:bCs/>
                <w:color w:val="auto"/>
                <w:sz w:val="24"/>
              </w:rPr>
              <w:t>0</w:t>
            </w:r>
            <w:r>
              <w:rPr>
                <w:b/>
                <w:bCs/>
                <w:color w:val="auto"/>
                <w:sz w:val="24"/>
              </w:rPr>
              <w:t>与《外商投资准入特别管理措施（负面清单）（2021年版）》相符性分析</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3"/>
              <w:gridCol w:w="7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b/>
                      <w:bCs/>
                      <w:color w:val="auto"/>
                      <w:szCs w:val="21"/>
                    </w:rPr>
                  </w:pPr>
                  <w:r>
                    <w:rPr>
                      <w:b/>
                      <w:bCs/>
                      <w:color w:val="auto"/>
                      <w:szCs w:val="21"/>
                    </w:rPr>
                    <w:t>序号</w:t>
                  </w:r>
                </w:p>
              </w:tc>
              <w:tc>
                <w:tcPr>
                  <w:tcW w:w="7126" w:type="dxa"/>
                  <w:vAlign w:val="center"/>
                </w:tcPr>
                <w:p>
                  <w:pPr>
                    <w:jc w:val="center"/>
                    <w:rPr>
                      <w:rFonts w:eastAsiaTheme="minorEastAsia"/>
                      <w:b/>
                      <w:bCs/>
                      <w:color w:val="auto"/>
                      <w:szCs w:val="21"/>
                    </w:rPr>
                  </w:pPr>
                  <w:r>
                    <w:rPr>
                      <w:b/>
                      <w:bCs/>
                      <w:color w:val="auto"/>
                      <w:szCs w:val="21"/>
                    </w:rPr>
                    <w:t>特别管理措施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rFonts w:eastAsiaTheme="minorEastAsia"/>
                      <w:color w:val="auto"/>
                      <w:szCs w:val="21"/>
                    </w:rPr>
                  </w:pPr>
                  <w:r>
                    <w:rPr>
                      <w:color w:val="auto"/>
                      <w:szCs w:val="21"/>
                    </w:rPr>
                    <w:t>一、</w:t>
                  </w:r>
                  <w:r>
                    <w:rPr>
                      <w:rFonts w:eastAsia="FZKai-Z03"/>
                      <w:color w:val="auto"/>
                      <w:kern w:val="0"/>
                      <w:szCs w:val="21"/>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w:t>
                  </w:r>
                </w:p>
              </w:tc>
              <w:tc>
                <w:tcPr>
                  <w:tcW w:w="7126" w:type="dxa"/>
                  <w:vAlign w:val="center"/>
                </w:tcPr>
                <w:p>
                  <w:pPr>
                    <w:widowControl/>
                    <w:rPr>
                      <w:color w:val="auto"/>
                      <w:szCs w:val="21"/>
                    </w:rPr>
                  </w:pPr>
                  <w:r>
                    <w:rPr>
                      <w:color w:val="auto"/>
                      <w:kern w:val="0"/>
                      <w:szCs w:val="21"/>
                    </w:rPr>
                    <w:t>小麦新品种选育和种子生产的中方股比不低于34%、玉米新品种选育和种子生产须由中方控股。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w:t>
                  </w:r>
                </w:p>
              </w:tc>
              <w:tc>
                <w:tcPr>
                  <w:tcW w:w="7126" w:type="dxa"/>
                  <w:vAlign w:val="center"/>
                </w:tcPr>
                <w:p>
                  <w:pPr>
                    <w:widowControl/>
                    <w:rPr>
                      <w:color w:val="auto"/>
                      <w:szCs w:val="21"/>
                    </w:rPr>
                  </w:pPr>
                  <w:r>
                    <w:rPr>
                      <w:color w:val="auto"/>
                      <w:kern w:val="0"/>
                      <w:szCs w:val="21"/>
                    </w:rPr>
                    <w:t>禁止投资中国稀有和特有的珍贵优良品种的研发、养殖、种植以及相关繁殖材料的生产（包括种植业、畜牧业、水产业的优良基因）。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3</w:t>
                  </w:r>
                </w:p>
              </w:tc>
              <w:tc>
                <w:tcPr>
                  <w:tcW w:w="7126" w:type="dxa"/>
                  <w:vAlign w:val="center"/>
                </w:tcPr>
                <w:p>
                  <w:pPr>
                    <w:widowControl/>
                    <w:rPr>
                      <w:color w:val="auto"/>
                      <w:szCs w:val="21"/>
                    </w:rPr>
                  </w:pPr>
                  <w:r>
                    <w:rPr>
                      <w:color w:val="auto"/>
                      <w:kern w:val="0"/>
                      <w:szCs w:val="21"/>
                    </w:rPr>
                    <w:t>禁止投资农作物、种畜禽、水产苗种转基因品种选育及其转基因种子（苗）生产。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4</w:t>
                  </w:r>
                </w:p>
              </w:tc>
              <w:tc>
                <w:tcPr>
                  <w:tcW w:w="7126" w:type="dxa"/>
                  <w:vAlign w:val="center"/>
                </w:tcPr>
                <w:p>
                  <w:pPr>
                    <w:widowControl/>
                    <w:rPr>
                      <w:color w:val="auto"/>
                      <w:szCs w:val="21"/>
                    </w:rPr>
                  </w:pPr>
                  <w:r>
                    <w:rPr>
                      <w:color w:val="auto"/>
                      <w:kern w:val="0"/>
                      <w:szCs w:val="21"/>
                    </w:rPr>
                    <w:t>禁止投资中国管辖海域及内陆水域水产品捕捞。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二、采矿业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5</w:t>
                  </w:r>
                </w:p>
              </w:tc>
              <w:tc>
                <w:tcPr>
                  <w:tcW w:w="7126" w:type="dxa"/>
                  <w:vAlign w:val="center"/>
                </w:tcPr>
                <w:p>
                  <w:pPr>
                    <w:widowControl/>
                    <w:rPr>
                      <w:color w:val="auto"/>
                      <w:szCs w:val="21"/>
                    </w:rPr>
                  </w:pPr>
                  <w:r>
                    <w:rPr>
                      <w:color w:val="auto"/>
                      <w:kern w:val="0"/>
                      <w:szCs w:val="21"/>
                    </w:rPr>
                    <w:t>禁止投资稀土、放射性矿产、钨勘查、开采及选矿。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kern w:val="0"/>
                      <w:szCs w:val="21"/>
                    </w:rPr>
                  </w:pPr>
                  <w:r>
                    <w:rPr>
                      <w:rFonts w:hint="eastAsia"/>
                      <w:color w:val="auto"/>
                      <w:szCs w:val="21"/>
                      <w:lang w:eastAsia="zh-CN"/>
                    </w:rPr>
                    <w:t>三、制造业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6</w:t>
                  </w:r>
                </w:p>
              </w:tc>
              <w:tc>
                <w:tcPr>
                  <w:tcW w:w="7126" w:type="dxa"/>
                  <w:vAlign w:val="center"/>
                </w:tcPr>
                <w:p>
                  <w:pPr>
                    <w:widowControl/>
                    <w:rPr>
                      <w:color w:val="auto"/>
                      <w:szCs w:val="21"/>
                    </w:rPr>
                  </w:pPr>
                  <w:r>
                    <w:rPr>
                      <w:color w:val="auto"/>
                      <w:kern w:val="0"/>
                      <w:szCs w:val="21"/>
                    </w:rPr>
                    <w:t>出版物印刷须由中方控股。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7</w:t>
                  </w:r>
                </w:p>
              </w:tc>
              <w:tc>
                <w:tcPr>
                  <w:tcW w:w="7126" w:type="dxa"/>
                  <w:vAlign w:val="center"/>
                </w:tcPr>
                <w:p>
                  <w:pPr>
                    <w:widowControl/>
                    <w:rPr>
                      <w:color w:val="auto"/>
                      <w:szCs w:val="21"/>
                    </w:rPr>
                  </w:pPr>
                  <w:r>
                    <w:rPr>
                      <w:color w:val="auto"/>
                      <w:kern w:val="0"/>
                      <w:szCs w:val="21"/>
                    </w:rPr>
                    <w:t>禁止投资中药饮片的蒸、炒、炙、煅等炮制技术的应用及中成药保密处方产品的生产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四、电力、热力、燃气及水生产和供应业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8</w:t>
                  </w:r>
                </w:p>
              </w:tc>
              <w:tc>
                <w:tcPr>
                  <w:tcW w:w="7126" w:type="dxa"/>
                  <w:vAlign w:val="center"/>
                </w:tcPr>
                <w:p>
                  <w:pPr>
                    <w:widowControl/>
                    <w:rPr>
                      <w:color w:val="auto"/>
                      <w:szCs w:val="21"/>
                    </w:rPr>
                  </w:pPr>
                  <w:r>
                    <w:rPr>
                      <w:color w:val="auto"/>
                      <w:kern w:val="0"/>
                      <w:szCs w:val="21"/>
                    </w:rPr>
                    <w:t>核电站的建设、经营须由中方控股。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五、批发和零售业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9</w:t>
                  </w:r>
                </w:p>
              </w:tc>
              <w:tc>
                <w:tcPr>
                  <w:tcW w:w="7126" w:type="dxa"/>
                  <w:vAlign w:val="center"/>
                </w:tcPr>
                <w:p>
                  <w:pPr>
                    <w:widowControl/>
                    <w:rPr>
                      <w:color w:val="auto"/>
                      <w:szCs w:val="21"/>
                    </w:rPr>
                  </w:pPr>
                  <w:r>
                    <w:rPr>
                      <w:color w:val="auto"/>
                      <w:kern w:val="0"/>
                      <w:szCs w:val="21"/>
                    </w:rPr>
                    <w:t>禁止投资烟叶、卷烟、复烤烟叶及其他烟草制品的批发、零售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六、交通运输、仓储和邮政业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10</w:t>
                  </w:r>
                </w:p>
              </w:tc>
              <w:tc>
                <w:tcPr>
                  <w:tcW w:w="7126" w:type="dxa"/>
                  <w:vAlign w:val="center"/>
                </w:tcPr>
                <w:p>
                  <w:pPr>
                    <w:widowControl/>
                    <w:rPr>
                      <w:color w:val="auto"/>
                      <w:szCs w:val="21"/>
                    </w:rPr>
                  </w:pPr>
                  <w:r>
                    <w:rPr>
                      <w:color w:val="auto"/>
                      <w:kern w:val="0"/>
                      <w:szCs w:val="21"/>
                    </w:rPr>
                    <w:t>国内水上运输公司须由中方控股。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11</w:t>
                  </w:r>
                </w:p>
              </w:tc>
              <w:tc>
                <w:tcPr>
                  <w:tcW w:w="7126" w:type="dxa"/>
                  <w:vAlign w:val="center"/>
                </w:tcPr>
                <w:p>
                  <w:pPr>
                    <w:widowControl/>
                    <w:rPr>
                      <w:color w:val="auto"/>
                      <w:szCs w:val="21"/>
                    </w:rPr>
                  </w:pPr>
                  <w:r>
                    <w:rPr>
                      <w:color w:val="auto"/>
                      <w:kern w:val="0"/>
                      <w:szCs w:val="21"/>
                    </w:rPr>
                    <w:t>公共航空运输公司须由中方控股，且一家外商及其关联企业投资比例不得超过25%，法定代表人须由中国籍公民担任。通用航空公司的法定代表人须由中国籍公民担任，其中农、林、渔业通用航空公司限于合资，其他通用航空公司限于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12</w:t>
                  </w:r>
                </w:p>
              </w:tc>
              <w:tc>
                <w:tcPr>
                  <w:tcW w:w="7126" w:type="dxa"/>
                  <w:vAlign w:val="center"/>
                </w:tcPr>
                <w:p>
                  <w:pPr>
                    <w:widowControl/>
                    <w:rPr>
                      <w:color w:val="auto"/>
                      <w:szCs w:val="21"/>
                    </w:rPr>
                  </w:pPr>
                  <w:r>
                    <w:rPr>
                      <w:color w:val="auto"/>
                      <w:kern w:val="0"/>
                      <w:szCs w:val="21"/>
                    </w:rPr>
                    <w:t>民用机场的建设、经营须由中方相对控股。外方不得参与建设、运营机场塔台。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13</w:t>
                  </w:r>
                </w:p>
              </w:tc>
              <w:tc>
                <w:tcPr>
                  <w:tcW w:w="7126" w:type="dxa"/>
                  <w:vAlign w:val="center"/>
                </w:tcPr>
                <w:p>
                  <w:pPr>
                    <w:widowControl/>
                    <w:rPr>
                      <w:color w:val="auto"/>
                      <w:szCs w:val="21"/>
                    </w:rPr>
                  </w:pPr>
                  <w:r>
                    <w:rPr>
                      <w:color w:val="auto"/>
                      <w:kern w:val="0"/>
                      <w:szCs w:val="21"/>
                    </w:rPr>
                    <w:t>禁止投资邮政公司、信件的国内快递业务。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七、信息传输、软件和信息技术服务业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14</w:t>
                  </w:r>
                </w:p>
              </w:tc>
              <w:tc>
                <w:tcPr>
                  <w:tcW w:w="7126" w:type="dxa"/>
                  <w:vAlign w:val="center"/>
                </w:tcPr>
                <w:p>
                  <w:pPr>
                    <w:widowControl/>
                    <w:rPr>
                      <w:color w:val="auto"/>
                      <w:szCs w:val="21"/>
                    </w:rPr>
                  </w:pPr>
                  <w:r>
                    <w:rPr>
                      <w:color w:val="auto"/>
                      <w:kern w:val="0"/>
                      <w:szCs w:val="21"/>
                    </w:rPr>
                    <w:t>电信公司：限于中国入世承诺开放的电信业务，增值电信业务的外资股比不超过50%（电子商务、国内多方通信、存储转发类、呼叫中心除外），基础电信业务须由中方控股。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15</w:t>
                  </w:r>
                </w:p>
              </w:tc>
              <w:tc>
                <w:tcPr>
                  <w:tcW w:w="7126" w:type="dxa"/>
                  <w:vAlign w:val="center"/>
                </w:tcPr>
                <w:p>
                  <w:pPr>
                    <w:widowControl/>
                    <w:rPr>
                      <w:color w:val="auto"/>
                      <w:szCs w:val="21"/>
                    </w:rPr>
                  </w:pPr>
                  <w:r>
                    <w:rPr>
                      <w:color w:val="auto"/>
                      <w:kern w:val="0"/>
                      <w:szCs w:val="21"/>
                    </w:rPr>
                    <w:t>禁止投资互联网新闻信息服务、网络出版服务、网络视听节目服务、互联网文化经营（音乐除外）、互联网公众发布信息服务（上述服务中，中国入世承诺中已开放的内容除外）。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八、租赁和商务服务业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16</w:t>
                  </w:r>
                </w:p>
              </w:tc>
              <w:tc>
                <w:tcPr>
                  <w:tcW w:w="7126" w:type="dxa"/>
                  <w:vAlign w:val="center"/>
                </w:tcPr>
                <w:p>
                  <w:pPr>
                    <w:widowControl/>
                    <w:rPr>
                      <w:color w:val="auto"/>
                      <w:szCs w:val="21"/>
                    </w:rPr>
                  </w:pPr>
                  <w:r>
                    <w:rPr>
                      <w:color w:val="auto"/>
                      <w:kern w:val="0"/>
                      <w:szCs w:val="21"/>
                    </w:rPr>
                    <w:t>禁止投资中国法律事务（提供有关中国法律环境影响的信息除外），不得成为国内律师事务所合伙人。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17</w:t>
                  </w:r>
                </w:p>
              </w:tc>
              <w:tc>
                <w:tcPr>
                  <w:tcW w:w="7126" w:type="dxa"/>
                  <w:vAlign w:val="center"/>
                </w:tcPr>
                <w:p>
                  <w:pPr>
                    <w:widowControl/>
                    <w:rPr>
                      <w:color w:val="auto"/>
                      <w:szCs w:val="21"/>
                    </w:rPr>
                  </w:pPr>
                  <w:r>
                    <w:rPr>
                      <w:color w:val="auto"/>
                      <w:kern w:val="0"/>
                      <w:szCs w:val="21"/>
                    </w:rPr>
                    <w:t>市场调查限于合资，其中广播电视收听、收视调查须由中方控股。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18</w:t>
                  </w:r>
                </w:p>
              </w:tc>
              <w:tc>
                <w:tcPr>
                  <w:tcW w:w="7126" w:type="dxa"/>
                  <w:vAlign w:val="center"/>
                </w:tcPr>
                <w:p>
                  <w:pPr>
                    <w:widowControl/>
                    <w:rPr>
                      <w:color w:val="auto"/>
                      <w:szCs w:val="21"/>
                    </w:rPr>
                  </w:pPr>
                  <w:r>
                    <w:rPr>
                      <w:color w:val="auto"/>
                      <w:kern w:val="0"/>
                      <w:szCs w:val="21"/>
                    </w:rPr>
                    <w:t>禁止投资社会调查。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九、科学研究和技术服务业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19</w:t>
                  </w:r>
                </w:p>
              </w:tc>
              <w:tc>
                <w:tcPr>
                  <w:tcW w:w="7126" w:type="dxa"/>
                  <w:vAlign w:val="center"/>
                </w:tcPr>
                <w:p>
                  <w:pPr>
                    <w:widowControl/>
                    <w:rPr>
                      <w:color w:val="auto"/>
                      <w:szCs w:val="21"/>
                    </w:rPr>
                  </w:pPr>
                  <w:r>
                    <w:rPr>
                      <w:color w:val="auto"/>
                      <w:kern w:val="0"/>
                      <w:szCs w:val="21"/>
                    </w:rPr>
                    <w:t>禁止投资人体干细胞、基因诊断与治疗技术开发和应用。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20</w:t>
                  </w:r>
                </w:p>
              </w:tc>
              <w:tc>
                <w:tcPr>
                  <w:tcW w:w="7126" w:type="dxa"/>
                  <w:vAlign w:val="center"/>
                </w:tcPr>
                <w:p>
                  <w:pPr>
                    <w:widowControl/>
                    <w:rPr>
                      <w:color w:val="auto"/>
                      <w:szCs w:val="21"/>
                    </w:rPr>
                  </w:pPr>
                  <w:r>
                    <w:rPr>
                      <w:color w:val="auto"/>
                      <w:kern w:val="0"/>
                      <w:szCs w:val="21"/>
                    </w:rPr>
                    <w:t>禁止投资人文社会科学研究机构。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21</w:t>
                  </w:r>
                </w:p>
              </w:tc>
              <w:tc>
                <w:tcPr>
                  <w:tcW w:w="7126" w:type="dxa"/>
                  <w:vAlign w:val="center"/>
                </w:tcPr>
                <w:p>
                  <w:pPr>
                    <w:widowControl/>
                    <w:rPr>
                      <w:color w:val="auto"/>
                      <w:szCs w:val="21"/>
                    </w:rPr>
                  </w:pPr>
                  <w:r>
                    <w:rPr>
                      <w:color w:val="auto"/>
                      <w:kern w:val="0"/>
                      <w:szCs w:val="21"/>
                    </w:rPr>
                    <w:t>禁止投资大地测量、海洋测绘、测绘航空摄影、地面移动测量、行政区域界线测绘，地形图、世界政区地图、全国政区地图、省级及以下政区地图、全国性教学地图、地方性教学地图、真三维地图和导航电子地图编制，区域性的地质填图、矿产地质、地球物理、地球化学、水文地质、环境地质、地质灾害、遥感地质等调查（矿业权人在其矿业权范围内开展工作不受此特别管理措施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十、教育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22</w:t>
                  </w:r>
                </w:p>
              </w:tc>
              <w:tc>
                <w:tcPr>
                  <w:tcW w:w="7126" w:type="dxa"/>
                  <w:vAlign w:val="center"/>
                </w:tcPr>
                <w:p>
                  <w:pPr>
                    <w:widowControl/>
                    <w:rPr>
                      <w:color w:val="auto"/>
                      <w:szCs w:val="21"/>
                    </w:rPr>
                  </w:pPr>
                  <w:r>
                    <w:rPr>
                      <w:color w:val="auto"/>
                      <w:kern w:val="0"/>
                      <w:szCs w:val="21"/>
                    </w:rPr>
                    <w:t>学前、普通高中和高等教育机构限于中外合作办学，须由中方主导（校长或者主要行政负责人应当具有中国国籍，理事会、董事会或者联合管理委员会的中方组成人员不得少于1/2）。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23</w:t>
                  </w:r>
                </w:p>
              </w:tc>
              <w:tc>
                <w:tcPr>
                  <w:tcW w:w="7126" w:type="dxa"/>
                  <w:vAlign w:val="center"/>
                </w:tcPr>
                <w:p>
                  <w:pPr>
                    <w:widowControl/>
                    <w:rPr>
                      <w:color w:val="auto"/>
                      <w:szCs w:val="21"/>
                    </w:rPr>
                  </w:pPr>
                  <w:r>
                    <w:rPr>
                      <w:color w:val="auto"/>
                      <w:kern w:val="0"/>
                      <w:szCs w:val="21"/>
                    </w:rPr>
                    <w:t>禁止投资义务教育机构、宗教教育机构。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十一、卫生和社会工作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24</w:t>
                  </w:r>
                </w:p>
              </w:tc>
              <w:tc>
                <w:tcPr>
                  <w:tcW w:w="7126" w:type="dxa"/>
                  <w:vAlign w:val="center"/>
                </w:tcPr>
                <w:p>
                  <w:pPr>
                    <w:widowControl/>
                    <w:rPr>
                      <w:color w:val="auto"/>
                      <w:szCs w:val="21"/>
                    </w:rPr>
                  </w:pPr>
                  <w:r>
                    <w:rPr>
                      <w:color w:val="auto"/>
                      <w:kern w:val="0"/>
                      <w:szCs w:val="21"/>
                    </w:rPr>
                    <w:t>医疗机构限于合资。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39" w:type="dxa"/>
                  <w:gridSpan w:val="2"/>
                  <w:vAlign w:val="center"/>
                </w:tcPr>
                <w:p>
                  <w:pPr>
                    <w:widowControl/>
                    <w:rPr>
                      <w:color w:val="auto"/>
                      <w:szCs w:val="21"/>
                    </w:rPr>
                  </w:pPr>
                  <w:r>
                    <w:rPr>
                      <w:rFonts w:eastAsia="FZKai-Z03"/>
                      <w:color w:val="auto"/>
                      <w:kern w:val="0"/>
                      <w:szCs w:val="21"/>
                    </w:rPr>
                    <w:t>十二、文化、体育和娱乐业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25</w:t>
                  </w:r>
                </w:p>
              </w:tc>
              <w:tc>
                <w:tcPr>
                  <w:tcW w:w="7126" w:type="dxa"/>
                  <w:vAlign w:val="center"/>
                </w:tcPr>
                <w:p>
                  <w:pPr>
                    <w:widowControl/>
                    <w:rPr>
                      <w:color w:val="auto"/>
                      <w:szCs w:val="21"/>
                    </w:rPr>
                  </w:pPr>
                  <w:r>
                    <w:rPr>
                      <w:color w:val="auto"/>
                      <w:kern w:val="0"/>
                      <w:szCs w:val="21"/>
                    </w:rPr>
                    <w:t>禁止投资新闻机构（包括但不限于通讯社）。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26</w:t>
                  </w:r>
                </w:p>
              </w:tc>
              <w:tc>
                <w:tcPr>
                  <w:tcW w:w="7126" w:type="dxa"/>
                  <w:vAlign w:val="center"/>
                </w:tcPr>
                <w:p>
                  <w:pPr>
                    <w:widowControl/>
                    <w:rPr>
                      <w:color w:val="auto"/>
                      <w:szCs w:val="21"/>
                    </w:rPr>
                  </w:pPr>
                  <w:r>
                    <w:rPr>
                      <w:color w:val="auto"/>
                      <w:kern w:val="0"/>
                      <w:szCs w:val="21"/>
                    </w:rPr>
                    <w:t>禁止投资图书、报纸、期刊、音像制品和电子出版物的编辑、出版、制作业务。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27</w:t>
                  </w:r>
                </w:p>
              </w:tc>
              <w:tc>
                <w:tcPr>
                  <w:tcW w:w="7126" w:type="dxa"/>
                  <w:vAlign w:val="center"/>
                </w:tcPr>
                <w:p>
                  <w:pPr>
                    <w:widowControl/>
                    <w:rPr>
                      <w:color w:val="auto"/>
                      <w:szCs w:val="21"/>
                    </w:rPr>
                  </w:pPr>
                  <w:r>
                    <w:rPr>
                      <w:color w:val="auto"/>
                      <w:kern w:val="0"/>
                      <w:szCs w:val="21"/>
                    </w:rPr>
                    <w:t>禁止投资各级广播电台（站）、电视台（站）、广播电视频道（率）、广播电视传输覆盖网（发射台、转播台、广播电视卫星、卫星上行站、卫星收转站、微波站、监测台及有线广播电视传输覆盖网等），禁止从事广播电视视频点播业务和卫星电视广播地面接收设施安装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28</w:t>
                  </w:r>
                </w:p>
              </w:tc>
              <w:tc>
                <w:tcPr>
                  <w:tcW w:w="7126" w:type="dxa"/>
                  <w:vAlign w:val="center"/>
                </w:tcPr>
                <w:p>
                  <w:pPr>
                    <w:rPr>
                      <w:color w:val="auto"/>
                      <w:szCs w:val="21"/>
                    </w:rPr>
                  </w:pPr>
                  <w:r>
                    <w:rPr>
                      <w:color w:val="auto"/>
                      <w:kern w:val="0"/>
                      <w:szCs w:val="21"/>
                    </w:rPr>
                    <w:t>禁止投资广播电视节目制作经营（含引进业务）公司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29</w:t>
                  </w:r>
                </w:p>
              </w:tc>
              <w:tc>
                <w:tcPr>
                  <w:tcW w:w="7126" w:type="dxa"/>
                  <w:vAlign w:val="center"/>
                </w:tcPr>
                <w:p>
                  <w:pPr>
                    <w:widowControl/>
                    <w:rPr>
                      <w:color w:val="auto"/>
                      <w:szCs w:val="21"/>
                    </w:rPr>
                  </w:pPr>
                  <w:r>
                    <w:rPr>
                      <w:color w:val="auto"/>
                      <w:kern w:val="0"/>
                      <w:szCs w:val="21"/>
                    </w:rPr>
                    <w:t>禁止投资电影制作公司、发行公司、院线公司以及电影引进业务。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30</w:t>
                  </w:r>
                </w:p>
              </w:tc>
              <w:tc>
                <w:tcPr>
                  <w:tcW w:w="7126" w:type="dxa"/>
                  <w:vAlign w:val="center"/>
                </w:tcPr>
                <w:p>
                  <w:pPr>
                    <w:widowControl/>
                    <w:rPr>
                      <w:color w:val="auto"/>
                      <w:szCs w:val="21"/>
                    </w:rPr>
                  </w:pPr>
                  <w:r>
                    <w:rPr>
                      <w:color w:val="auto"/>
                      <w:kern w:val="0"/>
                      <w:szCs w:val="21"/>
                    </w:rPr>
                    <w:t>禁止投资文物拍卖的拍卖公司、文物商店和国有文物博物馆。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3" w:type="dxa"/>
                  <w:vAlign w:val="center"/>
                </w:tcPr>
                <w:p>
                  <w:pPr>
                    <w:jc w:val="center"/>
                    <w:rPr>
                      <w:rFonts w:eastAsiaTheme="minorEastAsia"/>
                      <w:color w:val="auto"/>
                      <w:szCs w:val="21"/>
                    </w:rPr>
                  </w:pPr>
                  <w:r>
                    <w:rPr>
                      <w:color w:val="auto"/>
                      <w:szCs w:val="21"/>
                    </w:rPr>
                    <w:t>31</w:t>
                  </w:r>
                </w:p>
              </w:tc>
              <w:tc>
                <w:tcPr>
                  <w:tcW w:w="7126" w:type="dxa"/>
                  <w:vAlign w:val="center"/>
                </w:tcPr>
                <w:p>
                  <w:pPr>
                    <w:widowControl/>
                    <w:rPr>
                      <w:color w:val="auto"/>
                      <w:szCs w:val="21"/>
                    </w:rPr>
                  </w:pPr>
                  <w:r>
                    <w:rPr>
                      <w:color w:val="auto"/>
                      <w:kern w:val="0"/>
                      <w:szCs w:val="21"/>
                    </w:rPr>
                    <w:t>禁止投资文艺表演团体。</w:t>
                  </w:r>
                </w:p>
              </w:tc>
            </w:tr>
          </w:tbl>
          <w:p>
            <w:pPr>
              <w:autoSpaceDE w:val="0"/>
              <w:autoSpaceDN w:val="0"/>
              <w:adjustRightInd w:val="0"/>
              <w:snapToGrid w:val="0"/>
              <w:spacing w:line="360" w:lineRule="auto"/>
              <w:ind w:firstLine="480" w:firstLineChars="200"/>
              <w:jc w:val="left"/>
              <w:rPr>
                <w:color w:val="auto"/>
                <w:sz w:val="24"/>
                <w:szCs w:val="20"/>
              </w:rPr>
            </w:pPr>
            <w:r>
              <w:rPr>
                <w:color w:val="auto"/>
                <w:sz w:val="24"/>
                <w:szCs w:val="20"/>
              </w:rPr>
              <w:t>本项目属于G5942危险化学品仓储，为新建自用危险化学品仓库项目，属于企业配套服务，与《外商投资准入特别管理措施（负面清单）（2021年版）》相符。</w:t>
            </w:r>
          </w:p>
          <w:p>
            <w:pPr>
              <w:spacing w:line="360" w:lineRule="auto"/>
              <w:ind w:firstLine="482" w:firstLineChars="200"/>
              <w:rPr>
                <w:b/>
                <w:color w:val="auto"/>
                <w:sz w:val="24"/>
              </w:rPr>
            </w:pPr>
            <w:r>
              <w:rPr>
                <w:b/>
                <w:color w:val="auto"/>
                <w:sz w:val="24"/>
              </w:rPr>
              <w:t>3、与《关于深入打好污染防治攻坚战的实施意见》（中共江苏省委办公厅2022年1月24日印发）相符性分析</w:t>
            </w:r>
          </w:p>
          <w:p>
            <w:pPr>
              <w:spacing w:line="360" w:lineRule="auto"/>
              <w:ind w:firstLine="482" w:firstLineChars="200"/>
              <w:jc w:val="center"/>
              <w:rPr>
                <w:b/>
                <w:color w:val="auto"/>
                <w:sz w:val="24"/>
              </w:rPr>
            </w:pPr>
            <w:r>
              <w:rPr>
                <w:b/>
                <w:color w:val="auto"/>
                <w:sz w:val="24"/>
              </w:rPr>
              <w:t>表1-1</w:t>
            </w:r>
            <w:r>
              <w:rPr>
                <w:rFonts w:hint="eastAsia"/>
                <w:b/>
                <w:color w:val="auto"/>
                <w:sz w:val="24"/>
              </w:rPr>
              <w:t>1</w:t>
            </w:r>
            <w:r>
              <w:rPr>
                <w:b/>
                <w:color w:val="auto"/>
                <w:sz w:val="24"/>
              </w:rPr>
              <w:t>与《关于深入打好污染防治攻坚战的实施意见》相符性分析</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691"/>
              <w:gridCol w:w="3611"/>
              <w:gridCol w:w="2513"/>
              <w:gridCol w:w="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auto"/>
                    </w:rPr>
                  </w:pPr>
                  <w:r>
                    <w:rPr>
                      <w:color w:val="auto"/>
                    </w:rPr>
                    <w:t>内容</w:t>
                  </w:r>
                </w:p>
              </w:tc>
              <w:tc>
                <w:tcPr>
                  <w:tcW w:w="0" w:type="auto"/>
                  <w:vAlign w:val="center"/>
                </w:tcPr>
                <w:p>
                  <w:pPr>
                    <w:jc w:val="center"/>
                    <w:rPr>
                      <w:color w:val="auto"/>
                    </w:rPr>
                  </w:pPr>
                  <w:r>
                    <w:rPr>
                      <w:color w:val="auto"/>
                    </w:rPr>
                    <w:t>序号</w:t>
                  </w:r>
                </w:p>
              </w:tc>
              <w:tc>
                <w:tcPr>
                  <w:tcW w:w="0" w:type="auto"/>
                  <w:vAlign w:val="center"/>
                </w:tcPr>
                <w:p>
                  <w:pPr>
                    <w:jc w:val="center"/>
                    <w:rPr>
                      <w:color w:val="auto"/>
                    </w:rPr>
                  </w:pPr>
                  <w:r>
                    <w:rPr>
                      <w:color w:val="auto"/>
                    </w:rPr>
                    <w:t>标准要求</w:t>
                  </w:r>
                </w:p>
              </w:tc>
              <w:tc>
                <w:tcPr>
                  <w:tcW w:w="0" w:type="auto"/>
                  <w:vAlign w:val="center"/>
                </w:tcPr>
                <w:p>
                  <w:pPr>
                    <w:jc w:val="center"/>
                    <w:rPr>
                      <w:color w:val="auto"/>
                    </w:rPr>
                  </w:pPr>
                  <w:r>
                    <w:rPr>
                      <w:color w:val="auto"/>
                    </w:rPr>
                    <w:t>本项目情况</w:t>
                  </w:r>
                </w:p>
              </w:tc>
              <w:tc>
                <w:tcPr>
                  <w:tcW w:w="0" w:type="auto"/>
                  <w:vAlign w:val="center"/>
                </w:tcPr>
                <w:p>
                  <w:pPr>
                    <w:jc w:val="center"/>
                    <w:rPr>
                      <w:color w:val="auto"/>
                    </w:rPr>
                  </w:pPr>
                  <w:r>
                    <w:rPr>
                      <w:color w:val="auto"/>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auto"/>
                    </w:rPr>
                  </w:pPr>
                  <w:r>
                    <w:rPr>
                      <w:color w:val="auto"/>
                    </w:rPr>
                    <w:t>强化减污降碳协同增效，加快推动绿色高质量发展</w:t>
                  </w:r>
                </w:p>
              </w:tc>
              <w:tc>
                <w:tcPr>
                  <w:tcW w:w="0" w:type="auto"/>
                  <w:vAlign w:val="center"/>
                </w:tcPr>
                <w:p>
                  <w:pPr>
                    <w:jc w:val="center"/>
                    <w:rPr>
                      <w:color w:val="auto"/>
                    </w:rPr>
                  </w:pPr>
                  <w:r>
                    <w:rPr>
                      <w:color w:val="auto"/>
                    </w:rPr>
                    <w:t>十一</w:t>
                  </w:r>
                </w:p>
              </w:tc>
              <w:tc>
                <w:tcPr>
                  <w:tcW w:w="0" w:type="auto"/>
                  <w:vAlign w:val="center"/>
                </w:tcPr>
                <w:p>
                  <w:pPr>
                    <w:jc w:val="center"/>
                    <w:rPr>
                      <w:color w:val="auto"/>
                    </w:rPr>
                  </w:pPr>
                  <w:r>
                    <w:rPr>
                      <w:color w:val="auto"/>
                    </w:rPr>
                    <w:t>着力打好臭氧污染防治攻坚战。以石化、化工、涂装、医药、包装印刷、油品储运销等行业领域为重点，实施原辅材料和产品源头替代工程。开展涉气产业集群排查及分类治理，推进企业升级改造和区域环境综合整治。到2025年，挥发性有机物、氮氧化物排放总量比2020年分别下降10%以上，臭氧浓度增长趋势得到有效遏制。</w:t>
                  </w:r>
                </w:p>
              </w:tc>
              <w:tc>
                <w:tcPr>
                  <w:tcW w:w="0" w:type="auto"/>
                  <w:vAlign w:val="center"/>
                </w:tcPr>
                <w:p>
                  <w:pPr>
                    <w:jc w:val="center"/>
                    <w:rPr>
                      <w:color w:val="auto"/>
                    </w:rPr>
                  </w:pPr>
                  <w:r>
                    <w:rPr>
                      <w:color w:val="auto"/>
                    </w:rPr>
                    <w:t>本项目仅密闭储存</w:t>
                  </w:r>
                  <w:r>
                    <w:rPr>
                      <w:rFonts w:hint="eastAsia"/>
                      <w:color w:val="auto"/>
                    </w:rPr>
                    <w:t>含</w:t>
                  </w:r>
                  <w:r>
                    <w:rPr>
                      <w:color w:val="auto"/>
                    </w:rPr>
                    <w:t>VOCs物料，不产生VOCs，无VOCs废气收集处理系统。</w:t>
                  </w:r>
                </w:p>
              </w:tc>
              <w:tc>
                <w:tcPr>
                  <w:tcW w:w="0" w:type="auto"/>
                  <w:vAlign w:val="center"/>
                </w:tcPr>
                <w:p>
                  <w:pPr>
                    <w:jc w:val="center"/>
                    <w:rPr>
                      <w:color w:val="auto"/>
                    </w:rPr>
                  </w:pPr>
                  <w:r>
                    <w:rPr>
                      <w:color w:val="auto"/>
                      <w:sz w:val="24"/>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auto"/>
                    </w:rPr>
                  </w:pPr>
                  <w:r>
                    <w:rPr>
                      <w:color w:val="auto"/>
                    </w:rPr>
                    <w:t>加强源头和过程协同施策，深入打好净土保卫战</w:t>
                  </w:r>
                </w:p>
              </w:tc>
              <w:tc>
                <w:tcPr>
                  <w:tcW w:w="0" w:type="auto"/>
                  <w:vAlign w:val="center"/>
                </w:tcPr>
                <w:p>
                  <w:pPr>
                    <w:jc w:val="center"/>
                    <w:rPr>
                      <w:color w:val="auto"/>
                    </w:rPr>
                  </w:pPr>
                  <w:r>
                    <w:rPr>
                      <w:color w:val="auto"/>
                    </w:rPr>
                    <w:t>二十四</w:t>
                  </w:r>
                </w:p>
              </w:tc>
              <w:tc>
                <w:tcPr>
                  <w:tcW w:w="0" w:type="auto"/>
                  <w:vAlign w:val="center"/>
                </w:tcPr>
                <w:p>
                  <w:pPr>
                    <w:jc w:val="center"/>
                    <w:rPr>
                      <w:color w:val="auto"/>
                    </w:rPr>
                  </w:pPr>
                  <w:r>
                    <w:rPr>
                      <w:color w:val="auto"/>
                    </w:rPr>
                    <w:t>强化危险废物全生命周期监管。加强危险废物源头管控，严格项目准入，科学鉴定评价危险废物。加快推进危险废物集中收集体系建设，补齐医疗废物等危险废物处置能力短板。持续优化危险废物全生命周期监控系统，基本实现全省危险废物“来源可查、去向可追、全程留痕”。实施危险废物经营单位退出机制，从严打击非法转运、倾倒、填埋、利用处置危险废物等环境违法犯罪行为，保障市场公平有序。到2022年，医疗废物和生活垃圾焚烧飞灰、废盐等危险废物收集处置能力满足实际需求，县级以上城市建成区医疗废物无害化处置率达到100%。</w:t>
                  </w:r>
                </w:p>
              </w:tc>
              <w:tc>
                <w:tcPr>
                  <w:tcW w:w="0" w:type="auto"/>
                  <w:vAlign w:val="center"/>
                </w:tcPr>
                <w:p>
                  <w:pPr>
                    <w:jc w:val="center"/>
                    <w:rPr>
                      <w:color w:val="auto"/>
                    </w:rPr>
                  </w:pPr>
                  <w:r>
                    <w:rPr>
                      <w:color w:val="auto"/>
                    </w:rPr>
                    <w:t>本项目无危险废物产生，现有项目危险废物按要求进行全生命周期监管，收集后委托资质单位处置。</w:t>
                  </w:r>
                </w:p>
              </w:tc>
              <w:tc>
                <w:tcPr>
                  <w:tcW w:w="0" w:type="auto"/>
                  <w:vAlign w:val="center"/>
                </w:tcPr>
                <w:p>
                  <w:pPr>
                    <w:jc w:val="center"/>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pPr>
                    <w:jc w:val="center"/>
                    <w:rPr>
                      <w:color w:val="auto"/>
                    </w:rPr>
                  </w:pPr>
                  <w:r>
                    <w:rPr>
                      <w:color w:val="auto"/>
                    </w:rPr>
                    <w:t>加强生态安全和环境风险协同管控，深入打好生态环境安全保卫战</w:t>
                  </w:r>
                </w:p>
              </w:tc>
              <w:tc>
                <w:tcPr>
                  <w:tcW w:w="0" w:type="auto"/>
                  <w:vAlign w:val="center"/>
                </w:tcPr>
                <w:p>
                  <w:pPr>
                    <w:jc w:val="center"/>
                    <w:rPr>
                      <w:color w:val="auto"/>
                    </w:rPr>
                  </w:pPr>
                  <w:r>
                    <w:rPr>
                      <w:color w:val="auto"/>
                    </w:rPr>
                    <w:t>二十九</w:t>
                  </w:r>
                </w:p>
              </w:tc>
              <w:tc>
                <w:tcPr>
                  <w:tcW w:w="0" w:type="auto"/>
                  <w:vAlign w:val="center"/>
                </w:tcPr>
                <w:p>
                  <w:pPr>
                    <w:jc w:val="center"/>
                    <w:rPr>
                      <w:color w:val="auto"/>
                    </w:rPr>
                  </w:pPr>
                  <w:r>
                    <w:rPr>
                      <w:color w:val="auto"/>
                    </w:rPr>
                    <w:t>强化生态保护监管。完善生态监测网络，加强重点区域流域海域、生态空间管控区域、生态保护红线、自然保护地等生态状况监测评估。开展“绿盾”自然保护地强化监督专项行动，依法加大生态破坏问题监督查处力度。推进生态文明建设示范创建、“绿水青山就是金山银山”实践创新基地建设和美丽中国地方实践，推动生态产品价值实现机制不断完善。</w:t>
                  </w:r>
                </w:p>
              </w:tc>
              <w:tc>
                <w:tcPr>
                  <w:tcW w:w="0" w:type="auto"/>
                  <w:vAlign w:val="center"/>
                </w:tcPr>
                <w:p>
                  <w:pPr>
                    <w:jc w:val="center"/>
                    <w:rPr>
                      <w:color w:val="auto"/>
                    </w:rPr>
                  </w:pPr>
                  <w:r>
                    <w:rPr>
                      <w:color w:val="auto"/>
                    </w:rPr>
                    <w:t>距离本项目最近的生态空间管控区域为西南侧的沙家浜-昆承湖重要湿地约2.2km，本项目不在其生态空间管控区域范围内。本项目无废水，因此本项目建成后对周围环境影响较小，不会破坏生态环境。</w:t>
                  </w:r>
                </w:p>
              </w:tc>
              <w:tc>
                <w:tcPr>
                  <w:tcW w:w="0" w:type="auto"/>
                  <w:vAlign w:val="center"/>
                </w:tcPr>
                <w:p>
                  <w:pPr>
                    <w:jc w:val="center"/>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jc w:val="center"/>
                    <w:rPr>
                      <w:color w:val="auto"/>
                    </w:rPr>
                  </w:pPr>
                </w:p>
              </w:tc>
              <w:tc>
                <w:tcPr>
                  <w:tcW w:w="0" w:type="auto"/>
                  <w:vAlign w:val="center"/>
                </w:tcPr>
                <w:p>
                  <w:pPr>
                    <w:jc w:val="center"/>
                    <w:rPr>
                      <w:color w:val="auto"/>
                    </w:rPr>
                  </w:pPr>
                  <w:r>
                    <w:rPr>
                      <w:color w:val="auto"/>
                    </w:rPr>
                    <w:t>（三十一）</w:t>
                  </w:r>
                </w:p>
              </w:tc>
              <w:tc>
                <w:tcPr>
                  <w:tcW w:w="0" w:type="auto"/>
                  <w:vAlign w:val="center"/>
                </w:tcPr>
                <w:p>
                  <w:pPr>
                    <w:jc w:val="center"/>
                    <w:rPr>
                      <w:color w:val="auto"/>
                    </w:rPr>
                  </w:pPr>
                  <w:r>
                    <w:rPr>
                      <w:color w:val="auto"/>
                    </w:rPr>
                    <w:t>强化环境风险预警防控和应急管理。完善省、市、县三级环境应急管理体系，健全跨区域、跨部门突发生态环境事件联防联控机制，建成重点敏感保护目标突发水污染事件应急防范体系。开展涉危险废物涉重金属企业、园区等重点领域环境风险调查评估，完成重点河流突发水污染事件“一河一策一图”全覆盖，常态化推进环境风险企业隐患排查。完善环境应急指挥体系，建成区域环境应急基地和应急物资储备库。</w:t>
                  </w:r>
                </w:p>
              </w:tc>
              <w:tc>
                <w:tcPr>
                  <w:tcW w:w="0" w:type="auto"/>
                  <w:vAlign w:val="center"/>
                </w:tcPr>
                <w:p>
                  <w:pPr>
                    <w:jc w:val="center"/>
                    <w:rPr>
                      <w:color w:val="auto"/>
                    </w:rPr>
                  </w:pPr>
                  <w:r>
                    <w:rPr>
                      <w:color w:val="auto"/>
                    </w:rPr>
                    <w:t>本项目建成后将制定环境风险应急预案，同时企业内储备足够的环境应急物资，实现环境风险联防联控，故能满足环境风险防控的相关要求。</w:t>
                  </w:r>
                </w:p>
              </w:tc>
              <w:tc>
                <w:tcPr>
                  <w:tcW w:w="0" w:type="auto"/>
                  <w:vAlign w:val="center"/>
                </w:tcPr>
                <w:p>
                  <w:pPr>
                    <w:jc w:val="center"/>
                    <w:rPr>
                      <w:color w:val="auto"/>
                    </w:rPr>
                  </w:pPr>
                  <w:r>
                    <w:rPr>
                      <w:color w:val="auto"/>
                    </w:rPr>
                    <w:t>符合</w:t>
                  </w:r>
                </w:p>
              </w:tc>
            </w:tr>
          </w:tbl>
          <w:p>
            <w:pPr>
              <w:spacing w:line="360" w:lineRule="auto"/>
              <w:ind w:firstLine="482" w:firstLineChars="200"/>
              <w:rPr>
                <w:b/>
                <w:color w:val="auto"/>
                <w:sz w:val="24"/>
              </w:rPr>
            </w:pPr>
            <w:r>
              <w:rPr>
                <w:rFonts w:hint="eastAsia"/>
                <w:b/>
                <w:color w:val="auto"/>
                <w:sz w:val="24"/>
              </w:rPr>
              <w:t>4</w:t>
            </w:r>
            <w:r>
              <w:rPr>
                <w:b/>
                <w:color w:val="auto"/>
                <w:sz w:val="24"/>
              </w:rPr>
              <w:t>、与《关于加强高耗能、高排放建设项目生态环境源头防控的指导意见》（环环评〔2021〕45号）相符性分析</w:t>
            </w:r>
          </w:p>
          <w:p>
            <w:pPr>
              <w:pStyle w:val="2"/>
              <w:ind w:firstLine="480" w:firstLineChars="200"/>
              <w:rPr>
                <w:rFonts w:ascii="Times New Roman" w:hAnsi="Times New Roman"/>
                <w:color w:val="auto"/>
              </w:rPr>
            </w:pPr>
            <w:r>
              <w:rPr>
                <w:rFonts w:ascii="Times New Roman" w:hAnsi="Times New Roman"/>
                <w:color w:val="auto"/>
                <w:sz w:val="24"/>
              </w:rPr>
              <w:t>严把建设项目环境准入关。新建、改建、扩建“两高”项目须符合生态环境保护法律法规和相关法定规划，满足重点污染物排放总量控制、碳排放达峰目标、生态环境准入清单、相关规划环评和相应行业建设项目环境准入条件、环评文件审批原则要求。石化、现代煤化工项目应纳入国家产业规划。新建、扩建石化、化工、焦化、有色金属冶炼、平板玻璃项目应布设在依法合规设立并经规划环评的产业园区。各级生态环境部门和行政审批部门要严格把关，对于不符合相关法律法规的，依法不予审批。本项目属于危险化学品仓储，暂不属于上述“两高”项目，后续国家如有明确规定的，从其规定。</w:t>
            </w:r>
          </w:p>
          <w:p>
            <w:pPr>
              <w:pStyle w:val="2"/>
              <w:ind w:firstLine="482" w:firstLineChars="200"/>
              <w:rPr>
                <w:rFonts w:ascii="Times New Roman" w:hAnsi="Times New Roman"/>
                <w:b/>
                <w:bCs w:val="0"/>
                <w:color w:val="auto"/>
                <w:sz w:val="24"/>
                <w:szCs w:val="24"/>
              </w:rPr>
            </w:pPr>
            <w:r>
              <w:rPr>
                <w:rFonts w:hint="eastAsia" w:ascii="Times New Roman" w:hAnsi="Times New Roman"/>
                <w:b/>
                <w:bCs w:val="0"/>
                <w:color w:val="auto"/>
                <w:sz w:val="24"/>
                <w:szCs w:val="24"/>
              </w:rPr>
              <w:t>5</w:t>
            </w:r>
            <w:r>
              <w:rPr>
                <w:rFonts w:ascii="Times New Roman" w:hAnsi="Times New Roman"/>
                <w:b/>
                <w:bCs w:val="0"/>
                <w:color w:val="auto"/>
                <w:sz w:val="24"/>
                <w:szCs w:val="24"/>
              </w:rPr>
              <w:t>、与《挥发性有机物无组织排放控制标准》相符性分析</w:t>
            </w:r>
          </w:p>
          <w:p>
            <w:pPr>
              <w:pStyle w:val="2"/>
              <w:spacing w:line="240" w:lineRule="auto"/>
              <w:ind w:firstLine="482" w:firstLineChars="200"/>
              <w:jc w:val="center"/>
              <w:rPr>
                <w:rFonts w:ascii="Times New Roman" w:hAnsi="Times New Roman"/>
                <w:b/>
                <w:color w:val="auto"/>
                <w:sz w:val="24"/>
                <w:szCs w:val="24"/>
              </w:rPr>
            </w:pPr>
            <w:r>
              <w:rPr>
                <w:rFonts w:ascii="Times New Roman" w:hAnsi="Times New Roman"/>
                <w:b/>
                <w:color w:val="auto"/>
                <w:sz w:val="24"/>
                <w:szCs w:val="24"/>
              </w:rPr>
              <w:t>表1-12“挥发性有机物无组织排放控制标准”符合性分析</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6"/>
              <w:gridCol w:w="2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jc w:val="center"/>
                    <w:rPr>
                      <w:color w:val="auto"/>
                    </w:rPr>
                  </w:pPr>
                  <w:r>
                    <w:rPr>
                      <w:b/>
                      <w:bCs/>
                      <w:color w:val="auto"/>
                    </w:rPr>
                    <w:t>内容</w:t>
                  </w:r>
                </w:p>
              </w:tc>
              <w:tc>
                <w:tcPr>
                  <w:tcW w:w="1317" w:type="pct"/>
                  <w:vAlign w:val="center"/>
                </w:tcPr>
                <w:p>
                  <w:pPr>
                    <w:jc w:val="center"/>
                    <w:rPr>
                      <w:color w:val="auto"/>
                    </w:rPr>
                  </w:pPr>
                  <w:r>
                    <w:rPr>
                      <w:b/>
                      <w:bCs/>
                      <w:color w:val="auto"/>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adjustRightInd w:val="0"/>
                    <w:snapToGrid w:val="0"/>
                    <w:spacing w:line="264" w:lineRule="auto"/>
                    <w:rPr>
                      <w:color w:val="auto"/>
                    </w:rPr>
                  </w:pPr>
                  <w:r>
                    <w:rPr>
                      <w:color w:val="auto"/>
                    </w:rPr>
                    <w:t>VOCs物料应储存于密闭的容器、包装袋、储罐、储库、料库中，盛装VOCs物料的容器或者包装袋应存放于室内，或存放于设置有雨棚、遮阳和防渗设施的专用场地。盛装VOCs物料的容器或包装袋在非取用状态时应加盖、封口、保持密闭。</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adjustRightInd w:val="0"/>
                    <w:snapToGrid w:val="0"/>
                    <w:spacing w:line="264" w:lineRule="auto"/>
                    <w:rPr>
                      <w:color w:val="auto"/>
                    </w:rPr>
                  </w:pPr>
                  <w:r>
                    <w:rPr>
                      <w:color w:val="auto"/>
                    </w:rPr>
                    <w:t>液体VOCs物料应采用密闭管道输送。采用非管道输送方式转移液体VOCs物料时，应采用密闭容器、罐车。</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adjustRightInd w:val="0"/>
                    <w:snapToGrid w:val="0"/>
                    <w:spacing w:line="264" w:lineRule="auto"/>
                    <w:rPr>
                      <w:color w:val="auto"/>
                    </w:rPr>
                  </w:pPr>
                  <w:r>
                    <w:rPr>
                      <w:color w:val="auto"/>
                    </w:rPr>
                    <w:t>液体VOCs物料应采用密闭管道输送方式或采用高位槽（罐）、桶泵等给料方式密闭投加。无法密闭投加的，应在密闭空间内操作，或进行局部气体收集，废气应排至VOCs废气收集处理系统。</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adjustRightInd w:val="0"/>
                    <w:snapToGrid w:val="0"/>
                    <w:spacing w:line="264" w:lineRule="auto"/>
                    <w:rPr>
                      <w:color w:val="auto"/>
                    </w:rPr>
                  </w:pPr>
                  <w:r>
                    <w:rPr>
                      <w:color w:val="auto"/>
                    </w:rPr>
                    <w:t>VOCs质量占比大于等于10%的含VOCs产品，其使用过程应采用密闭设备或在密闭空间内操作，废气应排至VOCs废气收集处理系统；无法密闭的，应采取局部废气收集措施，废气应排至VOCs废气收集处理系统。</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VOCs物料，不产生VOCs，无VOCs废气收集处理系统。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adjustRightInd w:val="0"/>
                    <w:snapToGrid w:val="0"/>
                    <w:spacing w:line="264" w:lineRule="auto"/>
                    <w:rPr>
                      <w:color w:val="auto"/>
                    </w:rPr>
                  </w:pPr>
                  <w:r>
                    <w:rPr>
                      <w:color w:val="auto"/>
                    </w:rPr>
                    <w:t>企业应建立台账，记录含VOCs原辅材料和含VOCs产品的名称，使用量、回收量、废弃量、去向以及VOCs含量等信息。台账保存期限不少于3年等</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2" w:type="pct"/>
                  <w:vAlign w:val="center"/>
                </w:tcPr>
                <w:p>
                  <w:pPr>
                    <w:adjustRightInd w:val="0"/>
                    <w:snapToGrid w:val="0"/>
                    <w:spacing w:line="264" w:lineRule="auto"/>
                    <w:rPr>
                      <w:color w:val="auto"/>
                    </w:rPr>
                  </w:pPr>
                  <w:r>
                    <w:rPr>
                      <w:color w:val="auto"/>
                    </w:rPr>
                    <w:t>VOCs废气收集处理系统应与生产工艺设备同步进行。</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VOCs物料，不产生VOCs，无VOCs废气收集处理系统。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adjustRightInd w:val="0"/>
                    <w:snapToGrid w:val="0"/>
                    <w:spacing w:line="264" w:lineRule="auto"/>
                    <w:rPr>
                      <w:color w:val="auto"/>
                    </w:rPr>
                  </w:pPr>
                  <w:r>
                    <w:rPr>
                      <w:color w:val="auto"/>
                    </w:rPr>
                    <w:t>VOCs废气收集处理系统发生故障或检修时，对应的生产工艺设备应停止运行，待检修完毕后同步投入使用；生产工艺设备不能停止运行或不能及时停止运行的，应设置废气应急处理设施或采取其他替代措施等。</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VOCs物料，不产生VOCs，无VOCs废气收集处理系统。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2" w:type="pct"/>
                  <w:vAlign w:val="center"/>
                </w:tcPr>
                <w:p>
                  <w:pPr>
                    <w:adjustRightInd w:val="0"/>
                    <w:snapToGrid w:val="0"/>
                    <w:spacing w:line="264" w:lineRule="auto"/>
                    <w:rPr>
                      <w:color w:val="auto"/>
                    </w:rPr>
                  </w:pPr>
                  <w:r>
                    <w:rPr>
                      <w:color w:val="auto"/>
                    </w:rPr>
                    <w:t>收集的废气中NMHC初始排放速率≥3kg/h时，应配置VOCS处理设施，处理效率不应低于80%；对于重点地区，收集的废气中NMHC初始排放速率≥2kg/h时，应配置VOCs处理设施，处理效率不应低于80%。</w:t>
                  </w:r>
                </w:p>
              </w:tc>
              <w:tc>
                <w:tcPr>
                  <w:tcW w:w="2221" w:type="dxa"/>
                  <w:vAlign w:val="center"/>
                </w:tcPr>
                <w:p>
                  <w:pPr>
                    <w:spacing w:line="264" w:lineRule="auto"/>
                    <w:rPr>
                      <w:color w:val="auto"/>
                    </w:rPr>
                  </w:pPr>
                  <w:r>
                    <w:rPr>
                      <w:color w:val="auto"/>
                    </w:rPr>
                    <w:t>本项目仅密闭储存</w:t>
                  </w:r>
                  <w:r>
                    <w:rPr>
                      <w:rFonts w:hint="eastAsia"/>
                      <w:color w:val="auto"/>
                    </w:rPr>
                    <w:t>含</w:t>
                  </w:r>
                  <w:r>
                    <w:rPr>
                      <w:color w:val="auto"/>
                    </w:rPr>
                    <w:t>VOCs物料，不产生VOCs，无VOCs废气收集处理系统。</w:t>
                  </w:r>
                </w:p>
              </w:tc>
            </w:tr>
          </w:tbl>
          <w:p>
            <w:pPr>
              <w:pStyle w:val="2"/>
              <w:ind w:firstLine="480" w:firstLineChars="200"/>
              <w:rPr>
                <w:rFonts w:ascii="Times New Roman" w:hAnsi="Times New Roman"/>
                <w:color w:val="auto"/>
                <w:sz w:val="24"/>
              </w:rPr>
            </w:pPr>
            <w:r>
              <w:rPr>
                <w:rFonts w:ascii="Times New Roman" w:hAnsi="Times New Roman"/>
                <w:color w:val="auto"/>
                <w:sz w:val="24"/>
              </w:rPr>
              <w:t>本项目为G5942危险化学品仓储，不属于文件中的重点行业，本项目拟使用的危险化学品仓库为封闭式建筑物，仓库内物料分类、密闭暂存，从入库到出库整个环节都保持密闭状态。本项目建成后将根据《挥发性有机物无组织排放控制标准》相关要求，强化各环节的无组织排放控制。因此，本项目符合《关于印发&lt;2020年挥发性有机物治理攻坚方案&gt;的通知》（环大气[2020]33号）相关要求。</w:t>
            </w:r>
          </w:p>
          <w:p>
            <w:pPr>
              <w:autoSpaceDE w:val="0"/>
              <w:autoSpaceDN w:val="0"/>
              <w:adjustRightInd w:val="0"/>
              <w:snapToGrid w:val="0"/>
              <w:spacing w:line="360" w:lineRule="auto"/>
              <w:ind w:firstLine="482" w:firstLineChars="200"/>
              <w:rPr>
                <w:b/>
                <w:bCs/>
                <w:color w:val="auto"/>
                <w:sz w:val="24"/>
              </w:rPr>
            </w:pPr>
            <w:r>
              <w:rPr>
                <w:b/>
                <w:bCs/>
                <w:color w:val="auto"/>
                <w:sz w:val="24"/>
              </w:rPr>
              <w:t>6、与《关于印发&lt;2020年挥发性有机物治理攻坚方案&gt;的通知》（环大气[2020]33号）相符性</w:t>
            </w:r>
          </w:p>
          <w:p>
            <w:pPr>
              <w:autoSpaceDE w:val="0"/>
              <w:autoSpaceDN w:val="0"/>
              <w:adjustRightInd w:val="0"/>
              <w:snapToGrid w:val="0"/>
              <w:spacing w:line="360" w:lineRule="auto"/>
              <w:ind w:firstLine="480" w:firstLineChars="200"/>
              <w:rPr>
                <w:color w:val="auto"/>
                <w:sz w:val="24"/>
              </w:rPr>
            </w:pPr>
            <w:r>
              <w:rPr>
                <w:color w:val="auto"/>
                <w:sz w:val="24"/>
              </w:rPr>
              <w:t>严格落实国家和地方产品VOCs含量限值标准。大力推进低（无）VOCs含量原辅材料替代。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p>
            <w:pPr>
              <w:autoSpaceDE w:val="0"/>
              <w:autoSpaceDN w:val="0"/>
              <w:adjustRightInd w:val="0"/>
              <w:snapToGrid w:val="0"/>
              <w:spacing w:line="360" w:lineRule="auto"/>
              <w:ind w:firstLine="480" w:firstLineChars="200"/>
              <w:rPr>
                <w:color w:val="auto"/>
                <w:sz w:val="24"/>
              </w:rPr>
            </w:pPr>
            <w:r>
              <w:rPr>
                <w:color w:val="auto"/>
                <w:sz w:val="24"/>
              </w:rPr>
              <w:t>企业对现有VOCs废气收集率、治理设施同步运行率和去除率开展自查，重点关注单一采用光氧化、光催化、低温等离子、一次性活性炭吸附、喷淋吸收等工艺的治理设施。对达不到要求的VOCs收集、治理设施进行更换或升级改造，确保实现达标排放。除恶臭异味治理外，一般不采用低温等离子、光催化、光氧化等技术。采用活性炭吸附技术的，应选择碘值不低于800毫克/克的活性炭。对于采用局部集气罩的，距集气罩开口面最远处的VOCs无组织排放位置，控制风速不低于0.3米/秒，达不到要求的通过更换大功率风机、增设烟道风机、增加垂帘等方式及时改造。全面落实标准要求，强化无组织排放控制。2020年7月1日起，全面执行《挥发性有机物无组织排放控制标准》，重点地区应落实无组织排放特别控制要求。加强含VOCs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封闭、妥善存放，不得随意丢弃。</w:t>
            </w:r>
          </w:p>
          <w:p>
            <w:pPr>
              <w:autoSpaceDE w:val="0"/>
              <w:autoSpaceDN w:val="0"/>
              <w:adjustRightInd w:val="0"/>
              <w:snapToGrid w:val="0"/>
              <w:spacing w:line="360" w:lineRule="auto"/>
              <w:ind w:firstLine="480" w:firstLineChars="200"/>
              <w:rPr>
                <w:color w:val="auto"/>
                <w:sz w:val="24"/>
                <w:szCs w:val="20"/>
              </w:rPr>
            </w:pPr>
            <w:r>
              <w:rPr>
                <w:color w:val="auto"/>
                <w:sz w:val="24"/>
                <w:szCs w:val="20"/>
              </w:rPr>
              <w:t>本项目属于G5942危险化学品仓储，为新建自用危险化学品仓库项目，属于企业配套服务，仅密闭储存</w:t>
            </w:r>
            <w:r>
              <w:rPr>
                <w:rFonts w:hint="eastAsia"/>
                <w:color w:val="auto"/>
                <w:sz w:val="24"/>
              </w:rPr>
              <w:t>含</w:t>
            </w:r>
            <w:r>
              <w:rPr>
                <w:color w:val="auto"/>
                <w:sz w:val="24"/>
                <w:szCs w:val="20"/>
              </w:rPr>
              <w:t>VOCs物料，不产生VOCs</w:t>
            </w:r>
            <w:r>
              <w:rPr>
                <w:rFonts w:hint="eastAsia"/>
                <w:color w:val="auto"/>
                <w:sz w:val="24"/>
                <w:szCs w:val="20"/>
              </w:rPr>
              <w:t>。</w:t>
            </w:r>
          </w:p>
          <w:p>
            <w:pPr>
              <w:autoSpaceDE w:val="0"/>
              <w:autoSpaceDN w:val="0"/>
              <w:adjustRightInd w:val="0"/>
              <w:snapToGrid w:val="0"/>
              <w:spacing w:line="360" w:lineRule="auto"/>
              <w:ind w:firstLine="480" w:firstLineChars="200"/>
              <w:rPr>
                <w:color w:val="auto"/>
                <w:sz w:val="24"/>
                <w:szCs w:val="20"/>
              </w:rPr>
            </w:pPr>
            <w:r>
              <w:rPr>
                <w:rFonts w:hint="eastAsia"/>
                <w:color w:val="auto"/>
                <w:sz w:val="24"/>
                <w:szCs w:val="20"/>
              </w:rPr>
              <w:t>现有项目①由于设备、工作台有清洁要求，故选择乙醇用于擦拭工作台、设备，擦拭过程中乙醇易挥发会产生废气，但由于使用频率低，且乙醇用量较小，故废气产生量极小。且在不同车间内不定期使用，车间较大，难以进行收集，于车间内通风无组织排放，不作定量分析。</w:t>
            </w:r>
          </w:p>
          <w:p>
            <w:pPr>
              <w:autoSpaceDE w:val="0"/>
              <w:autoSpaceDN w:val="0"/>
              <w:adjustRightInd w:val="0"/>
              <w:snapToGrid w:val="0"/>
              <w:spacing w:line="360" w:lineRule="auto"/>
              <w:ind w:firstLine="480" w:firstLineChars="200"/>
              <w:rPr>
                <w:color w:val="auto"/>
                <w:sz w:val="24"/>
                <w:szCs w:val="20"/>
              </w:rPr>
            </w:pPr>
            <w:r>
              <w:rPr>
                <w:rFonts w:hint="eastAsia"/>
                <w:color w:val="auto"/>
                <w:sz w:val="24"/>
                <w:szCs w:val="20"/>
              </w:rPr>
              <w:t>②柴油发电机运行过程中燃烧柴油会产生废气，主要为颗粒物、二氧化硫、氮氧化物。由于柴油发电机仅在企业断电、停电时启用，启用情况少且启用时间较短，产生量极小，于车间内无组织排放，不作定量分析。</w:t>
            </w:r>
          </w:p>
          <w:p>
            <w:pPr>
              <w:autoSpaceDE w:val="0"/>
              <w:autoSpaceDN w:val="0"/>
              <w:adjustRightInd w:val="0"/>
              <w:snapToGrid w:val="0"/>
              <w:spacing w:line="360" w:lineRule="auto"/>
              <w:ind w:firstLine="480" w:firstLineChars="200"/>
              <w:rPr>
                <w:color w:val="auto"/>
                <w:sz w:val="24"/>
                <w:szCs w:val="20"/>
              </w:rPr>
            </w:pPr>
            <w:r>
              <w:rPr>
                <w:rFonts w:hint="eastAsia"/>
                <w:color w:val="auto"/>
                <w:sz w:val="24"/>
                <w:szCs w:val="20"/>
              </w:rPr>
              <w:t>③危废仓库废气主要来源与存放的废包装桶、废包装瓶、废抹布，原废桶存储的原料包含乙醇及柴油，存在一定挥发性，在储存过程中会挥发散逸出少量有机废气，以非甲烷总烃计，产生量极少，通过仓库内通风换气措施排放，满足排放要求，不作定量分析。</w:t>
            </w:r>
          </w:p>
          <w:p>
            <w:pPr>
              <w:autoSpaceDE w:val="0"/>
              <w:autoSpaceDN w:val="0"/>
              <w:adjustRightInd w:val="0"/>
              <w:snapToGrid w:val="0"/>
              <w:spacing w:line="360" w:lineRule="auto"/>
              <w:ind w:firstLine="480" w:firstLineChars="200"/>
              <w:rPr>
                <w:color w:val="auto"/>
                <w:sz w:val="24"/>
                <w:szCs w:val="20"/>
              </w:rPr>
            </w:pPr>
            <w:r>
              <w:rPr>
                <w:rFonts w:hint="eastAsia"/>
                <w:color w:val="auto"/>
                <w:sz w:val="24"/>
                <w:szCs w:val="20"/>
              </w:rPr>
              <w:t>故</w:t>
            </w:r>
            <w:r>
              <w:rPr>
                <w:color w:val="auto"/>
                <w:sz w:val="24"/>
                <w:szCs w:val="20"/>
              </w:rPr>
              <w:t>本项目符合《关于印发&lt;2020年挥发性有机物治理攻坚方案&gt;的通知》（环大气[2020]33号）相关要求。</w:t>
            </w:r>
          </w:p>
          <w:p>
            <w:pPr>
              <w:autoSpaceDE w:val="0"/>
              <w:autoSpaceDN w:val="0"/>
              <w:adjustRightInd w:val="0"/>
              <w:snapToGrid w:val="0"/>
              <w:spacing w:line="360" w:lineRule="auto"/>
              <w:ind w:firstLine="482" w:firstLineChars="200"/>
              <w:rPr>
                <w:b/>
                <w:bCs/>
                <w:color w:val="auto"/>
                <w:sz w:val="24"/>
              </w:rPr>
            </w:pPr>
            <w:r>
              <w:rPr>
                <w:b/>
                <w:bCs/>
                <w:color w:val="auto"/>
                <w:sz w:val="24"/>
              </w:rPr>
              <w:t>7、与《江苏省“十四五”生态环境保护规划》（苏政办发〔2021〕84号）相符性分析</w:t>
            </w:r>
          </w:p>
          <w:p>
            <w:pPr>
              <w:autoSpaceDE w:val="0"/>
              <w:autoSpaceDN w:val="0"/>
              <w:adjustRightInd w:val="0"/>
              <w:snapToGrid w:val="0"/>
              <w:spacing w:line="360" w:lineRule="auto"/>
              <w:ind w:firstLine="480" w:firstLineChars="200"/>
              <w:rPr>
                <w:color w:val="auto"/>
                <w:sz w:val="24"/>
              </w:rPr>
            </w:pPr>
            <w:r>
              <w:rPr>
                <w:color w:val="auto"/>
                <w:sz w:val="24"/>
              </w:rPr>
              <w:t>根据江苏省“十四五”生态环境保护规划的要求：加强VOCs治理攻坚，大力推进源头替代。实施《江苏省重点行业挥发性有机物清洁原料替代工作方案》，全面排查使用高VOCs含量原辅材料的企业，按照“可替尽替、应代尽代”的原则，推进实施源头替代，培育一批源头替代示范型企业。严格准入要求，禁止建设生产和使用高VOCs含量的溶剂型涂料、油墨、胶黏剂等项目。将符合低挥发性有机化合物含量产品技术要求的企业纳入清洁原料替代正面清单。强化重点行业VOCs治理减排。加强石化、化工、工业涂装、包装印刷、油品储运销售等重点行业VOCs深度治理，发布VOCs重点监管企业名录，编制实施“一企一策”综合治理方案。完善省重点行业VOCs总量核算体系，实施新建项目总量平衡“减二增一”。推进工业园区、企业集群推广建设涉VOCs“绿岛”项目，因地制宜建设集中涂装中心、活性炭集中处理中心、溶剂回收中心等，实现车间、治污设施共享，提高VOCs治理效率。加强VOCs无组织排放控制，实施含VOCs物料全方位、全链条、全环节管理，强化储存、转移和输送、设备与管线组件泄漏、敞开液面逸散以及工艺过程等无组织排放环节的污染收集处理。</w:t>
            </w:r>
          </w:p>
          <w:p>
            <w:pPr>
              <w:autoSpaceDE w:val="0"/>
              <w:autoSpaceDN w:val="0"/>
              <w:adjustRightInd w:val="0"/>
              <w:snapToGrid w:val="0"/>
              <w:spacing w:line="360" w:lineRule="auto"/>
              <w:ind w:firstLine="480" w:firstLineChars="200"/>
              <w:rPr>
                <w:color w:val="auto"/>
                <w:sz w:val="24"/>
              </w:rPr>
            </w:pPr>
            <w:r>
              <w:rPr>
                <w:color w:val="auto"/>
                <w:sz w:val="24"/>
              </w:rPr>
              <w:t>本项目</w:t>
            </w:r>
            <w:r>
              <w:rPr>
                <w:rFonts w:hint="eastAsia"/>
                <w:color w:val="auto"/>
                <w:sz w:val="24"/>
              </w:rPr>
              <w:t>为新建自用危险化学品仓库，</w:t>
            </w:r>
            <w:r>
              <w:rPr>
                <w:color w:val="auto"/>
                <w:sz w:val="24"/>
                <w:szCs w:val="20"/>
              </w:rPr>
              <w:t>仅密闭储存</w:t>
            </w:r>
            <w:r>
              <w:rPr>
                <w:rFonts w:hint="eastAsia"/>
                <w:color w:val="auto"/>
                <w:sz w:val="24"/>
              </w:rPr>
              <w:t>含</w:t>
            </w:r>
            <w:r>
              <w:rPr>
                <w:color w:val="auto"/>
                <w:sz w:val="24"/>
                <w:szCs w:val="20"/>
              </w:rPr>
              <w:t>VOCs物料，不产生VOCs</w:t>
            </w:r>
            <w:r>
              <w:rPr>
                <w:color w:val="auto"/>
                <w:sz w:val="24"/>
              </w:rPr>
              <w:t>。因此本项目与江苏省“十四五”生态环境保护规划是相符的。</w:t>
            </w:r>
          </w:p>
          <w:p>
            <w:pPr>
              <w:spacing w:line="360" w:lineRule="auto"/>
              <w:ind w:firstLine="482" w:firstLineChars="200"/>
              <w:rPr>
                <w:color w:val="auto"/>
              </w:rPr>
            </w:pPr>
            <w:r>
              <w:rPr>
                <w:b/>
                <w:bCs/>
                <w:color w:val="auto"/>
                <w:sz w:val="24"/>
              </w:rPr>
              <w:t>8、与《苏州市“十四五”生态环境保护规划》相符性分析</w:t>
            </w:r>
          </w:p>
          <w:p>
            <w:pPr>
              <w:autoSpaceDE w:val="0"/>
              <w:autoSpaceDN w:val="0"/>
              <w:adjustRightInd w:val="0"/>
              <w:snapToGrid w:val="0"/>
              <w:spacing w:line="360" w:lineRule="auto"/>
              <w:ind w:firstLine="480" w:firstLineChars="200"/>
              <w:rPr>
                <w:color w:val="auto"/>
                <w:sz w:val="24"/>
              </w:rPr>
            </w:pPr>
            <w:r>
              <w:rPr>
                <w:color w:val="auto"/>
                <w:sz w:val="24"/>
              </w:rPr>
              <w:t>根据苏州市“十四五”生态环境保护规划的要求，加大VOCs治理力度，分类实施原材料绿色化替代。按照国家、省清洁原料替代要求，在技术成熟领域持续推进使用低VOCs含量的涂料、油墨、胶粘剂、清洗剂和其他低（无）VOCs含量、低反应活性的原辅材料，提高木质家具、工程机械制造、汽车制造行业低挥发性有机物含量涂料产品使用比例，在技术尚未全部成熟领域开展替代试点，从源头减少VOCs产生。强化无组织排放管理。对企业含VOCs物料储存、转移和输送、设备与管线组件泄漏、敞开液面逸散以及工艺过程等五类排放源加强管理，有效削减VOCs无组织排放。按照“应收尽收、分质收集”的原则，优先采用密闭集气罩收集废气，提高废气收集率。加强非正常工况排放控制，规范化工装置开停工及维检修流程。指导企业制定VOCs无组织排放控制规程，按期开展泄漏检测与修复工作，及时修复泄漏源。深入实施精细化管控。深化石化、化工、工业涂装、包装印刷、油品储运销售等重点行业VOCs深度治理和重点集群整治，实施VOCs达标区和重点化工企业VOCs达标示范工程，逐步取消石化、化工、工业涂装、包装印刷等企业非必要废气排放系统旁路。针对存在突出问题的工业园区、企业集群、重点管控企业制定整改方案，做到措施精准、时限明确、责任到人，适时推进整治成效后评估，到2025年，实现市级及以上工业园区整治提升全覆盖。推进工业园区建立健全监测预警监控体系，开展工业园区常态化走航监测、异常因子排查溯源等。推进工业园区和企业集群建设VOCs“绿岛”项目，统筹规划建设一批集中涂装中心、活性炭集中处理中心、溶剂回收中心等，实现VOCs集中高效处理。</w:t>
            </w:r>
          </w:p>
          <w:p>
            <w:pPr>
              <w:autoSpaceDE w:val="0"/>
              <w:autoSpaceDN w:val="0"/>
              <w:adjustRightInd w:val="0"/>
              <w:snapToGrid w:val="0"/>
              <w:spacing w:line="360" w:lineRule="auto"/>
              <w:ind w:firstLine="480" w:firstLineChars="200"/>
              <w:rPr>
                <w:color w:val="auto"/>
                <w:sz w:val="24"/>
              </w:rPr>
            </w:pPr>
            <w:r>
              <w:rPr>
                <w:color w:val="auto"/>
                <w:sz w:val="24"/>
              </w:rPr>
              <w:t>本项目为</w:t>
            </w:r>
            <w:r>
              <w:rPr>
                <w:color w:val="auto"/>
                <w:sz w:val="24"/>
                <w:szCs w:val="20"/>
              </w:rPr>
              <w:t>仅密闭储存</w:t>
            </w:r>
            <w:r>
              <w:rPr>
                <w:rFonts w:hint="eastAsia"/>
                <w:color w:val="auto"/>
                <w:sz w:val="24"/>
                <w:szCs w:val="20"/>
              </w:rPr>
              <w:t>含</w:t>
            </w:r>
            <w:r>
              <w:rPr>
                <w:color w:val="auto"/>
                <w:sz w:val="24"/>
                <w:szCs w:val="20"/>
              </w:rPr>
              <w:t>VOCs物料，不产生VOCs</w:t>
            </w:r>
            <w:r>
              <w:rPr>
                <w:color w:val="auto"/>
                <w:sz w:val="24"/>
              </w:rPr>
              <w:t>。本项目不属于石化、化工、工业涂装、包装印刷、油品储运销售等重点行业，因此本项目与苏州市“十四五”生态环境保护规划是相符的。</w:t>
            </w:r>
          </w:p>
          <w:p>
            <w:pPr>
              <w:spacing w:line="360" w:lineRule="auto"/>
              <w:ind w:firstLine="482" w:firstLineChars="200"/>
              <w:rPr>
                <w:b/>
                <w:bCs/>
                <w:color w:val="auto"/>
                <w:sz w:val="24"/>
              </w:rPr>
            </w:pPr>
            <w:r>
              <w:rPr>
                <w:b/>
                <w:bCs/>
                <w:color w:val="auto"/>
                <w:sz w:val="24"/>
              </w:rPr>
              <w:t>9、与《常熟市“十四五”生态环境保护规划》的相符性分析</w:t>
            </w:r>
          </w:p>
          <w:p>
            <w:pPr>
              <w:pStyle w:val="2"/>
              <w:ind w:firstLine="480" w:firstLineChars="200"/>
              <w:rPr>
                <w:rFonts w:ascii="Times New Roman" w:hAnsi="Times New Roman"/>
                <w:bCs w:val="0"/>
                <w:color w:val="auto"/>
                <w:sz w:val="24"/>
                <w:szCs w:val="24"/>
              </w:rPr>
            </w:pPr>
            <w:r>
              <w:rPr>
                <w:rFonts w:ascii="Times New Roman" w:hAnsi="Times New Roman"/>
                <w:bCs w:val="0"/>
                <w:color w:val="auto"/>
                <w:sz w:val="24"/>
                <w:szCs w:val="24"/>
              </w:rPr>
              <w:t>根据常熟市“十四五”生态环境保护规划的要求，加大VOCs治理力度。完善“源头—过程—末端”治理模式，推行基于活性的VOCs减排策略。强化VOCs源头控制，推广使用水性涂料、水性胶黏剂、低挥发性、环保型溶剂，提高木质家具、工程机械制造、汽车制造行业低挥发性有机物含量涂料产品使用比例。强化无组织排放管理，对企业含VOCs物料储存、转移和输送、设备与管线组件泄漏、敞开液面逸散以及工艺过程等五类排放源加强管理，有效削减VOCs无组织排放。按照“应收尽收、分质收集”的原则，优先采用密闭集气罩收集废气，提高废气收集率。加强非正常工况排放控制，规范化工装置开停工及维检修流程。指导企业制定VOCs无组织排放控制规程，按期开展泄漏检测与修复工作，及时修复泄漏源。推进工业园区和企业集群建设VOCs“绿岛”项目，取缔部分分散式汽车修理点的喷涂设施，建设集中式汽车钣喷中心，实现VOCs集中高效处理。</w:t>
            </w:r>
          </w:p>
          <w:p>
            <w:pPr>
              <w:pStyle w:val="2"/>
              <w:ind w:firstLine="480" w:firstLineChars="200"/>
              <w:rPr>
                <w:rFonts w:ascii="Times New Roman" w:hAnsi="Times New Roman"/>
                <w:bCs w:val="0"/>
                <w:color w:val="auto"/>
                <w:sz w:val="24"/>
                <w:szCs w:val="24"/>
              </w:rPr>
            </w:pPr>
            <w:r>
              <w:rPr>
                <w:rFonts w:ascii="Times New Roman" w:hAnsi="Times New Roman"/>
                <w:bCs w:val="0"/>
                <w:color w:val="auto"/>
                <w:sz w:val="24"/>
                <w:szCs w:val="24"/>
              </w:rPr>
              <w:t>本项目</w:t>
            </w:r>
            <w:r>
              <w:rPr>
                <w:rFonts w:ascii="Times New Roman" w:hAnsi="Times New Roman"/>
                <w:color w:val="auto"/>
                <w:sz w:val="24"/>
              </w:rPr>
              <w:t>仅密闭储存</w:t>
            </w:r>
            <w:r>
              <w:rPr>
                <w:rFonts w:hint="eastAsia" w:ascii="Times New Roman" w:hAnsi="Times New Roman"/>
                <w:color w:val="auto"/>
                <w:sz w:val="24"/>
              </w:rPr>
              <w:t>含</w:t>
            </w:r>
            <w:r>
              <w:rPr>
                <w:rFonts w:ascii="Times New Roman" w:hAnsi="Times New Roman"/>
                <w:color w:val="auto"/>
                <w:sz w:val="24"/>
              </w:rPr>
              <w:t>VOCs物料，不产生VOCs</w:t>
            </w:r>
            <w:r>
              <w:rPr>
                <w:rFonts w:ascii="Times New Roman" w:hAnsi="Times New Roman"/>
                <w:bCs w:val="0"/>
                <w:color w:val="auto"/>
                <w:sz w:val="24"/>
                <w:szCs w:val="24"/>
              </w:rPr>
              <w:t>。因此本项目与常熟市“十四五”生态环境保护规划是相符的。</w:t>
            </w:r>
          </w:p>
          <w:p>
            <w:pPr>
              <w:numPr>
                <w:ilvl w:val="0"/>
                <w:numId w:val="3"/>
              </w:numPr>
              <w:spacing w:line="360" w:lineRule="auto"/>
              <w:ind w:firstLine="482" w:firstLineChars="200"/>
              <w:rPr>
                <w:b/>
                <w:bCs/>
                <w:color w:val="auto"/>
                <w:sz w:val="24"/>
              </w:rPr>
            </w:pPr>
            <w:r>
              <w:rPr>
                <w:b/>
                <w:bCs/>
                <w:color w:val="auto"/>
                <w:sz w:val="24"/>
              </w:rPr>
              <w:t>与关于印发《常熟市2023年度大气污染防治工作计划》（常大气办[2023]6号）相符性分析</w:t>
            </w:r>
          </w:p>
          <w:p>
            <w:pPr>
              <w:pStyle w:val="2"/>
              <w:spacing w:line="240" w:lineRule="auto"/>
              <w:ind w:firstLine="482" w:firstLineChars="200"/>
              <w:jc w:val="center"/>
              <w:rPr>
                <w:rFonts w:ascii="Times New Roman" w:hAnsi="Times New Roman"/>
                <w:b/>
                <w:color w:val="auto"/>
                <w:sz w:val="24"/>
                <w:szCs w:val="24"/>
              </w:rPr>
            </w:pPr>
            <w:r>
              <w:rPr>
                <w:rFonts w:ascii="Times New Roman" w:hAnsi="Times New Roman"/>
                <w:b/>
                <w:color w:val="auto"/>
                <w:sz w:val="24"/>
                <w:szCs w:val="24"/>
              </w:rPr>
              <w:t>表1-13关于印发《常熟市2023年度大气污染防治工作计划》（常大气办[2023]6号）符合性分析</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62"/>
              <w:gridCol w:w="1675"/>
              <w:gridCol w:w="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jc w:val="center"/>
                    <w:rPr>
                      <w:b/>
                      <w:bCs/>
                      <w:color w:val="auto"/>
                      <w:szCs w:val="21"/>
                    </w:rPr>
                  </w:pPr>
                  <w:r>
                    <w:rPr>
                      <w:b/>
                      <w:bCs/>
                      <w:color w:val="auto"/>
                      <w:szCs w:val="21"/>
                    </w:rPr>
                    <w:t>文件相关内容</w:t>
                  </w:r>
                </w:p>
              </w:tc>
              <w:tc>
                <w:tcPr>
                  <w:tcW w:w="0" w:type="auto"/>
                  <w:vAlign w:val="center"/>
                </w:tcPr>
                <w:p>
                  <w:pPr>
                    <w:jc w:val="center"/>
                    <w:rPr>
                      <w:b/>
                      <w:bCs/>
                      <w:color w:val="auto"/>
                      <w:szCs w:val="21"/>
                    </w:rPr>
                  </w:pPr>
                  <w:r>
                    <w:rPr>
                      <w:b/>
                      <w:bCs/>
                      <w:color w:val="auto"/>
                      <w:szCs w:val="21"/>
                    </w:rPr>
                    <w:t>项目建设</w:t>
                  </w:r>
                </w:p>
              </w:tc>
              <w:tc>
                <w:tcPr>
                  <w:tcW w:w="0" w:type="auto"/>
                  <w:vAlign w:val="center"/>
                </w:tcPr>
                <w:p>
                  <w:pPr>
                    <w:jc w:val="center"/>
                    <w:rPr>
                      <w:b/>
                      <w:bCs/>
                      <w:color w:val="auto"/>
                      <w:szCs w:val="21"/>
                    </w:rPr>
                  </w:pPr>
                  <w:r>
                    <w:rPr>
                      <w:b/>
                      <w:bCs/>
                      <w:color w:val="auto"/>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1、优化产业结构。坚决遏制“两高”项目盲目发展，新、改、扩建“两高”项目必须符合生态环境保护法律法规和相关规划要求。对不符合要求的“两高”项目停批停建。对“两高”项目实行清单管理、分类处置、动态监控。</w:t>
                  </w:r>
                </w:p>
              </w:tc>
              <w:tc>
                <w:tcPr>
                  <w:tcW w:w="0" w:type="auto"/>
                  <w:vAlign w:val="center"/>
                </w:tcPr>
                <w:p>
                  <w:pPr>
                    <w:rPr>
                      <w:color w:val="auto"/>
                      <w:szCs w:val="21"/>
                    </w:rPr>
                  </w:pPr>
                  <w:r>
                    <w:rPr>
                      <w:color w:val="auto"/>
                      <w:szCs w:val="21"/>
                    </w:rPr>
                    <w:t>本项目不属于“两高”项目。</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2、优化能源结构。严格控制煤炭消费，严禁新增自备煤电机组。大力推动煤电节能降耗改造、灵活性改造、供热改造“三改联动”。推动30万千瓦及以上燃煤机组供热改造，合理规划建设供热管网，加快供热区域热网互联互通。</w:t>
                  </w:r>
                </w:p>
              </w:tc>
              <w:tc>
                <w:tcPr>
                  <w:tcW w:w="0" w:type="auto"/>
                  <w:vAlign w:val="center"/>
                </w:tcPr>
                <w:p>
                  <w:pPr>
                    <w:rPr>
                      <w:color w:val="auto"/>
                      <w:szCs w:val="21"/>
                    </w:rPr>
                  </w:pPr>
                  <w:r>
                    <w:rPr>
                      <w:color w:val="auto"/>
                      <w:szCs w:val="21"/>
                    </w:rPr>
                    <w:t>本项目不涉及煤炭能源使用。</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3、优化交通结构。大力提高水运、铁路、管道等清洁运能，推动构建便捷高效的多式联运体系，加快发展江河联运。推动大型工矿企业和物流园区充分利用已有支线航道、铁路专用线能力，逐步将大宗货物运输转向水路或铁路运输。加强港口资源整合，进一步加强煤炭、矿石、焦炭等大宗货物集疏港运输管理，沿江主要港口大宗货物中长距离运输原则上以水路为主，短距离运输时优先采用封闭式皮带廊遒或新能源车船。</w:t>
                  </w:r>
                </w:p>
              </w:tc>
              <w:tc>
                <w:tcPr>
                  <w:tcW w:w="0" w:type="auto"/>
                  <w:vAlign w:val="center"/>
                </w:tcPr>
                <w:p>
                  <w:pPr>
                    <w:rPr>
                      <w:color w:val="auto"/>
                      <w:szCs w:val="21"/>
                    </w:rPr>
                  </w:pPr>
                  <w:r>
                    <w:rPr>
                      <w:color w:val="auto"/>
                      <w:szCs w:val="21"/>
                    </w:rPr>
                    <w:t>本项目为危险化学品仓储，不涉及水运、铁路等运输。</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4、推进重点行业超低排放改造和清洁能源替代。实施低效废气治理设施全面提升改造工程，对脱硫、脱硝、除尘等废气治理设施工艺类型、处理能力、建设运行情况、副产物产生及处置情况等开展排查评估，重点关注除尘脱硫一体化、脱硫脱硝一体化、简易碱法脱硫、简易氨法脱硫脱硝、湿法脱硝等低效治理技术，对无法稳定达标排放的，通过更换适宜高效治理工艺、提升现有治理设施工程质量、清洁能源替代、依法关停等方式实施分类整治。</w:t>
                  </w:r>
                </w:p>
              </w:tc>
              <w:tc>
                <w:tcPr>
                  <w:tcW w:w="0" w:type="auto"/>
                  <w:vAlign w:val="center"/>
                </w:tcPr>
                <w:p>
                  <w:pPr>
                    <w:rPr>
                      <w:color w:val="auto"/>
                      <w:szCs w:val="21"/>
                    </w:rPr>
                  </w:pPr>
                  <w:r>
                    <w:rPr>
                      <w:color w:val="auto"/>
                      <w:szCs w:val="21"/>
                    </w:rPr>
                    <w:t>本项目为危险化学品仓储项目，无废气产生，对周围环境影响较小。</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5、推进煤电机组深度脱硝改造</w:t>
                  </w:r>
                </w:p>
              </w:tc>
              <w:tc>
                <w:tcPr>
                  <w:tcW w:w="0" w:type="auto"/>
                  <w:vAlign w:val="center"/>
                </w:tcPr>
                <w:p>
                  <w:pPr>
                    <w:rPr>
                      <w:color w:val="auto"/>
                      <w:szCs w:val="21"/>
                    </w:rPr>
                  </w:pPr>
                  <w:r>
                    <w:rPr>
                      <w:color w:val="auto"/>
                      <w:szCs w:val="21"/>
                    </w:rPr>
                    <w:t>不涉及</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6、开展生物质锅炉综合整治。</w:t>
                  </w:r>
                </w:p>
              </w:tc>
              <w:tc>
                <w:tcPr>
                  <w:tcW w:w="0" w:type="auto"/>
                  <w:vAlign w:val="center"/>
                </w:tcPr>
                <w:p>
                  <w:pPr>
                    <w:rPr>
                      <w:color w:val="auto"/>
                      <w:szCs w:val="21"/>
                    </w:rPr>
                  </w:pPr>
                  <w:r>
                    <w:rPr>
                      <w:color w:val="auto"/>
                      <w:szCs w:val="21"/>
                    </w:rPr>
                    <w:t>不涉及</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7、持续开展友好减排。优化治理设施、工艺、运行状态等，推动排放大户持续、稳定实现友好减排。继续实施火电、钢铁、玻璃、垃圾焚烧、废弃物处置等重点行业自愿最优减排，确保减排成效。强化全市氮氧化物排放大户管控，推进开展深度治理。</w:t>
                  </w:r>
                </w:p>
              </w:tc>
              <w:tc>
                <w:tcPr>
                  <w:tcW w:w="0" w:type="auto"/>
                  <w:vAlign w:val="center"/>
                </w:tcPr>
                <w:p>
                  <w:pPr>
                    <w:rPr>
                      <w:color w:val="auto"/>
                      <w:szCs w:val="21"/>
                    </w:rPr>
                  </w:pPr>
                  <w:r>
                    <w:rPr>
                      <w:color w:val="auto"/>
                      <w:szCs w:val="21"/>
                    </w:rPr>
                    <w:t>本项目为危险化学品仓储项目，无废气产生，对周围环境影响较小。</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8、推进低VOCs含量原辅材料替代。禁止建设生产和使用高VOCs含量的溶剂型涂料、油墨、胶粘剂等项目。</w:t>
                  </w:r>
                </w:p>
              </w:tc>
              <w:tc>
                <w:tcPr>
                  <w:tcW w:w="0" w:type="auto"/>
                  <w:vAlign w:val="center"/>
                </w:tcPr>
                <w:p>
                  <w:pPr>
                    <w:rPr>
                      <w:color w:val="auto"/>
                      <w:szCs w:val="21"/>
                    </w:rPr>
                  </w:pPr>
                  <w:r>
                    <w:rPr>
                      <w:color w:val="auto"/>
                      <w:szCs w:val="21"/>
                    </w:rPr>
                    <w:t>本项目不涉及涂料、油墨、胶黏剂的使用。</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9、开展简易低效VOCs治理设施提升整治。全面排查涉VOCs企业污染治理设施情况，依法查处无治理设施等情况，推进限期整改。对采用单一低温等离子、光催化、光氧化、水喷淋等简单低效治理设施的企业，按要求推进升级改造，确保稳定达标排放。对采用活性炭吸附装置的企业，要结合入户核查工作，建立管理台账，定期检查企业治理设施是否正常运行、活性炭是否及时更换等情况。实行重点排放源排放浓度与去除效率双重控制，对收集的废气中非甲烷总蛭初始排放速率≥2千克/小时的车间或生产设施，确保排放浓度稳定达标，去除效率不低于80%，有行业排放标准的按相关规定执行。</w:t>
                  </w:r>
                </w:p>
              </w:tc>
              <w:tc>
                <w:tcPr>
                  <w:tcW w:w="0" w:type="auto"/>
                  <w:vAlign w:val="center"/>
                </w:tcPr>
                <w:p>
                  <w:pPr>
                    <w:rPr>
                      <w:color w:val="auto"/>
                      <w:szCs w:val="21"/>
                    </w:rPr>
                  </w:pPr>
                  <w:r>
                    <w:rPr>
                      <w:color w:val="auto"/>
                      <w:szCs w:val="21"/>
                    </w:rPr>
                    <w:t>本项目为危险化学品仓储项目，无废气产生，对周围环境影响较小。</w:t>
                  </w:r>
                </w:p>
              </w:tc>
              <w:tc>
                <w:tcPr>
                  <w:tcW w:w="0" w:type="auto"/>
                  <w:vAlign w:val="center"/>
                </w:tcPr>
                <w:p>
                  <w:pPr>
                    <w:rPr>
                      <w:color w:val="auto"/>
                      <w:szCs w:val="21"/>
                    </w:rPr>
                  </w:pPr>
                  <w:r>
                    <w:rPr>
                      <w:color w:val="auto"/>
                      <w:szCs w:val="21"/>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Align w:val="center"/>
                </w:tcPr>
                <w:p>
                  <w:pPr>
                    <w:rPr>
                      <w:color w:val="auto"/>
                      <w:szCs w:val="21"/>
                    </w:rPr>
                  </w:pPr>
                  <w:r>
                    <w:rPr>
                      <w:color w:val="auto"/>
                      <w:szCs w:val="21"/>
                    </w:rPr>
                    <w:t>10、强化VOCs无组织排放整治。全面排查含VOCs物料储存、转移和输送、设备与管线组件、敞开液面以及工艺过程等环节无组织排放情况，对达不到相关标准要求的强化整治。推动解决化工、仓储、制药、农药等行业重点治理储罐配件失效、装载和污水处理密闭收集效果差、装置区废水预处理池及废水储罐废气未收集、LDAR不符合标准规范等问题。推动解决工业涂装、包装印刷等行业重点治理集气罩收集效果差、含VOCs原辅材料和废料储存环节未密闭等问题。无法实现低VOCs原辅材料替代的工序，宜在密闭设备、密闭空间作业或安装二次密闭设施。</w:t>
                  </w:r>
                </w:p>
              </w:tc>
              <w:tc>
                <w:tcPr>
                  <w:tcW w:w="0" w:type="auto"/>
                  <w:vAlign w:val="center"/>
                </w:tcPr>
                <w:p>
                  <w:pPr>
                    <w:rPr>
                      <w:color w:val="auto"/>
                      <w:szCs w:val="21"/>
                    </w:rPr>
                  </w:pPr>
                  <w:r>
                    <w:rPr>
                      <w:color w:val="auto"/>
                      <w:szCs w:val="21"/>
                    </w:rPr>
                    <w:t>本项目为危险化学品仓储项目，无废气产生，对周围环境影响较小。</w:t>
                  </w:r>
                </w:p>
              </w:tc>
              <w:tc>
                <w:tcPr>
                  <w:tcW w:w="0" w:type="auto"/>
                  <w:vAlign w:val="center"/>
                </w:tcPr>
                <w:p>
                  <w:pPr>
                    <w:rPr>
                      <w:color w:val="auto"/>
                      <w:szCs w:val="21"/>
                    </w:rPr>
                  </w:pPr>
                  <w:r>
                    <w:rPr>
                      <w:color w:val="auto"/>
                      <w:szCs w:val="21"/>
                    </w:rPr>
                    <w:t>相符</w:t>
                  </w:r>
                </w:p>
              </w:tc>
            </w:tr>
          </w:tbl>
          <w:p>
            <w:pPr>
              <w:pStyle w:val="2"/>
              <w:ind w:firstLine="482" w:firstLineChars="200"/>
              <w:rPr>
                <w:rFonts w:ascii="Times New Roman" w:hAnsi="Times New Roman"/>
                <w:b/>
                <w:color w:val="auto"/>
                <w:sz w:val="24"/>
                <w:szCs w:val="24"/>
              </w:rPr>
            </w:pPr>
            <w:r>
              <w:rPr>
                <w:rFonts w:hint="eastAsia" w:ascii="Times New Roman" w:hAnsi="Times New Roman"/>
                <w:b/>
                <w:color w:val="auto"/>
                <w:sz w:val="24"/>
                <w:szCs w:val="24"/>
              </w:rPr>
              <w:t>11、与《省大气办关于印发&lt;江苏省挥发性有机物清洁原料替代工作方案&gt;的通知》（苏大气办（2021）2号相符性</w:t>
            </w:r>
          </w:p>
          <w:p>
            <w:pPr>
              <w:spacing w:line="360" w:lineRule="auto"/>
              <w:ind w:firstLine="480" w:firstLineChars="200"/>
              <w:rPr>
                <w:color w:val="auto"/>
                <w:sz w:val="24"/>
              </w:rPr>
            </w:pPr>
            <w:r>
              <w:rPr>
                <w:rFonts w:hint="eastAsia"/>
                <w:color w:val="auto"/>
                <w:sz w:val="24"/>
              </w:rPr>
              <w:t>文件中要求：（一）明确替代要求。以工业涂装、包装印刷、木材加工、纺织等行业为重点，分阶段推进3130家企业清洁原料替代工作。实施替代的企业要使用符合《低挥发性有机化合物含量涂料产品技术要求》(GB/T38597-2020）规定的粉末、水性、无溶剂、辐射固化涂料产品；符合《油墨中可挥发性有机化合物（VOCs）含量的限值》(GB38507-2020）规定的水性油墨和能量固化油墨产品；符合《清洗剂挥发性有机化合物含量限值》(GB38508-2020）规定的水基、半水基清洗剂产品；符合《胶粘剂挥发性有机化合物限量》(GB33372-2020）规定的水基型、本体型胶粘剂产品。若确实无法达到上述要求，应提供相应的论证说明，相关涂料、油墨、清洗剂、胶粘剂等产品应符合相关标准中VOCs含量的限值要求。（二）严格准入条件。禁止建设生产和使用高VOCs含量的涂料、油墨、胶粘剂等项目。</w:t>
            </w:r>
          </w:p>
          <w:p>
            <w:pPr>
              <w:spacing w:line="360" w:lineRule="auto"/>
              <w:ind w:firstLine="480" w:firstLineChars="200"/>
              <w:rPr>
                <w:color w:val="auto"/>
                <w:sz w:val="24"/>
              </w:rPr>
            </w:pPr>
            <w:r>
              <w:rPr>
                <w:rFonts w:hint="eastAsia"/>
                <w:color w:val="auto"/>
                <w:sz w:val="24"/>
              </w:rPr>
              <w:t>本项目为新建自用危险化学品仓库项目，仅密闭存储含VOCs物料，现有项目涉及乙醇作为清洗剂，乙醇的VOC含量为800g/L，参照《清洗剂挥发性有机化合物含量限值》(GB38508-2020）的VOC含量限值</w:t>
            </w:r>
          </w:p>
          <w:p>
            <w:pPr>
              <w:pStyle w:val="2"/>
              <w:spacing w:line="240" w:lineRule="auto"/>
              <w:jc w:val="center"/>
              <w:rPr>
                <w:rFonts w:ascii="Times New Roman" w:hAnsi="Times New Roman"/>
                <w:b/>
                <w:color w:val="auto"/>
                <w:sz w:val="24"/>
                <w:szCs w:val="24"/>
              </w:rPr>
            </w:pPr>
            <w:r>
              <w:rPr>
                <w:rFonts w:hint="eastAsia" w:ascii="Times New Roman" w:hAnsi="Times New Roman"/>
                <w:b/>
                <w:color w:val="auto"/>
                <w:sz w:val="24"/>
                <w:szCs w:val="24"/>
              </w:rPr>
              <w:t>表1-14 清洗剂中可挥发性有机化合物含量的限值表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3"/>
              <w:gridCol w:w="2812"/>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5" w:type="dxa"/>
                  <w:vAlign w:val="center"/>
                </w:tcPr>
                <w:p>
                  <w:pPr>
                    <w:jc w:val="center"/>
                    <w:rPr>
                      <w:color w:val="auto"/>
                    </w:rPr>
                  </w:pPr>
                  <w:r>
                    <w:rPr>
                      <w:rFonts w:hint="eastAsia"/>
                      <w:color w:val="auto"/>
                    </w:rPr>
                    <w:t>类型</w:t>
                  </w:r>
                </w:p>
              </w:tc>
              <w:tc>
                <w:tcPr>
                  <w:tcW w:w="2814" w:type="dxa"/>
                  <w:vAlign w:val="center"/>
                </w:tcPr>
                <w:p>
                  <w:pPr>
                    <w:jc w:val="center"/>
                    <w:rPr>
                      <w:color w:val="auto"/>
                    </w:rPr>
                  </w:pPr>
                  <w:r>
                    <w:rPr>
                      <w:rFonts w:hint="eastAsia"/>
                      <w:color w:val="auto"/>
                    </w:rPr>
                    <w:t>挥发性有机化合物含量</w:t>
                  </w:r>
                </w:p>
              </w:tc>
              <w:tc>
                <w:tcPr>
                  <w:tcW w:w="2816" w:type="dxa"/>
                  <w:vAlign w:val="center"/>
                </w:tcPr>
                <w:p>
                  <w:pPr>
                    <w:jc w:val="center"/>
                    <w:rPr>
                      <w:color w:val="auto"/>
                    </w:rPr>
                  </w:pPr>
                  <w:r>
                    <w:rPr>
                      <w:rFonts w:hint="eastAsia"/>
                      <w:color w:val="auto"/>
                    </w:rPr>
                    <w:t>本项目使用情况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5" w:type="dxa"/>
                  <w:vAlign w:val="center"/>
                </w:tcPr>
                <w:p>
                  <w:pPr>
                    <w:jc w:val="center"/>
                    <w:rPr>
                      <w:color w:val="auto"/>
                    </w:rPr>
                  </w:pPr>
                  <w:r>
                    <w:rPr>
                      <w:rFonts w:hint="eastAsia"/>
                      <w:color w:val="auto"/>
                    </w:rPr>
                    <w:t>乙醇（清洗剂）</w:t>
                  </w:r>
                </w:p>
              </w:tc>
              <w:tc>
                <w:tcPr>
                  <w:tcW w:w="2814" w:type="dxa"/>
                  <w:vAlign w:val="center"/>
                </w:tcPr>
                <w:p>
                  <w:pPr>
                    <w:jc w:val="center"/>
                    <w:rPr>
                      <w:color w:val="auto"/>
                    </w:rPr>
                  </w:pPr>
                  <w:r>
                    <w:rPr>
                      <w:rFonts w:hint="eastAsia"/>
                      <w:color w:val="auto"/>
                    </w:rPr>
                    <w:t>≤900g/L</w:t>
                  </w:r>
                </w:p>
              </w:tc>
              <w:tc>
                <w:tcPr>
                  <w:tcW w:w="2816" w:type="dxa"/>
                  <w:vAlign w:val="center"/>
                </w:tcPr>
                <w:p>
                  <w:pPr>
                    <w:jc w:val="center"/>
                    <w:rPr>
                      <w:color w:val="auto"/>
                    </w:rPr>
                  </w:pPr>
                  <w:r>
                    <w:rPr>
                      <w:rFonts w:hint="eastAsia"/>
                      <w:color w:val="auto"/>
                    </w:rPr>
                    <w:t>800g/L</w:t>
                  </w:r>
                </w:p>
              </w:tc>
            </w:tr>
          </w:tbl>
          <w:p>
            <w:pPr>
              <w:spacing w:line="360" w:lineRule="auto"/>
              <w:ind w:firstLine="482" w:firstLineChars="200"/>
              <w:rPr>
                <w:color w:val="auto"/>
                <w:sz w:val="24"/>
              </w:rPr>
            </w:pPr>
            <w:r>
              <w:rPr>
                <w:rFonts w:hint="eastAsia"/>
                <w:b/>
                <w:bCs/>
                <w:color w:val="auto"/>
                <w:sz w:val="24"/>
              </w:rPr>
              <w:t>由上表可知，现有项目所使用的乙醇符合《省大气办关于印发&lt;江苏省挥发性有机物清洁原料替代工作方案&gt;的通知》（苏大气办（2021）2号）。</w:t>
            </w:r>
          </w:p>
        </w:tc>
      </w:tr>
    </w:tbl>
    <w:p>
      <w:pPr>
        <w:pStyle w:val="16"/>
        <w:keepNext/>
        <w:adjustRightInd w:val="0"/>
        <w:snapToGrid w:val="0"/>
        <w:spacing w:beforeLines="50" w:beforeAutospacing="0" w:afterLines="50" w:afterAutospacing="0"/>
        <w:jc w:val="center"/>
        <w:outlineLvl w:val="0"/>
        <w:rPr>
          <w:rFonts w:ascii="Times New Roman" w:hAnsi="Times New Roman"/>
          <w:snapToGrid w:val="0"/>
          <w:color w:val="auto"/>
          <w:sz w:val="30"/>
          <w:szCs w:val="30"/>
        </w:rPr>
        <w:sectPr>
          <w:pgSz w:w="11906" w:h="16838"/>
          <w:pgMar w:top="1701" w:right="1531" w:bottom="1701" w:left="1531" w:header="851" w:footer="851" w:gutter="0"/>
          <w:cols w:space="720" w:num="1"/>
          <w:docGrid w:linePitch="312" w:charSpace="0"/>
        </w:sectPr>
      </w:pPr>
    </w:p>
    <w:p>
      <w:pPr>
        <w:pStyle w:val="16"/>
        <w:keepNext/>
        <w:adjustRightInd w:val="0"/>
        <w:snapToGrid w:val="0"/>
        <w:spacing w:beforeLines="50" w:beforeAutospacing="0" w:afterLines="50" w:afterAutospacing="0"/>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二、建设项目工程分析</w:t>
      </w:r>
    </w:p>
    <w:tbl>
      <w:tblPr>
        <w:tblStyle w:val="19"/>
        <w:tblW w:w="90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12" w:hRule="atLeast"/>
          <w:jc w:val="center"/>
        </w:trPr>
        <w:tc>
          <w:tcPr>
            <w:tcW w:w="452" w:type="dxa"/>
            <w:noWrap/>
            <w:vAlign w:val="center"/>
          </w:tcPr>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建</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设</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内</w:t>
            </w:r>
          </w:p>
          <w:p>
            <w:pPr>
              <w:pStyle w:val="16"/>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Cs w:val="24"/>
              </w:rPr>
              <w:t>容</w:t>
            </w:r>
          </w:p>
        </w:tc>
        <w:tc>
          <w:tcPr>
            <w:tcW w:w="8628" w:type="dxa"/>
            <w:noWrap/>
          </w:tcPr>
          <w:p>
            <w:pPr>
              <w:pStyle w:val="46"/>
              <w:numPr>
                <w:ilvl w:val="0"/>
                <w:numId w:val="4"/>
              </w:numPr>
              <w:spacing w:after="0" w:line="360" w:lineRule="auto"/>
              <w:ind w:left="0" w:leftChars="0" w:firstLine="482" w:firstLineChars="200"/>
              <w:jc w:val="both"/>
              <w:rPr>
                <w:rFonts w:ascii="Times New Roman" w:hAnsi="Times New Roman" w:cs="Times New Roman"/>
                <w:b/>
                <w:bCs/>
                <w:color w:val="auto"/>
              </w:rPr>
            </w:pPr>
            <w:r>
              <w:rPr>
                <w:rFonts w:hint="eastAsia" w:ascii="Times New Roman" w:hAnsi="Times New Roman" w:cs="Times New Roman"/>
                <w:b/>
                <w:bCs/>
                <w:color w:val="auto"/>
              </w:rPr>
              <w:t>项目由来</w:t>
            </w:r>
          </w:p>
          <w:p>
            <w:pPr>
              <w:adjustRightInd w:val="0"/>
              <w:snapToGrid w:val="0"/>
              <w:spacing w:line="360" w:lineRule="auto"/>
              <w:ind w:firstLine="480" w:firstLineChars="200"/>
              <w:rPr>
                <w:color w:val="auto"/>
                <w:kern w:val="0"/>
                <w:sz w:val="24"/>
              </w:rPr>
            </w:pPr>
            <w:r>
              <w:rPr>
                <w:rFonts w:hint="eastAsia"/>
                <w:color w:val="auto"/>
                <w:kern w:val="0"/>
                <w:sz w:val="24"/>
              </w:rPr>
              <w:t>朴华（苏州）康复科技有限公司成立于2020年7月16日，位于</w:t>
            </w:r>
            <w:r>
              <w:rPr>
                <w:color w:val="auto"/>
                <w:sz w:val="24"/>
              </w:rPr>
              <w:t>常熟市东南街道庐山路68号</w:t>
            </w:r>
            <w:r>
              <w:rPr>
                <w:rFonts w:hint="eastAsia"/>
                <w:color w:val="auto"/>
                <w:kern w:val="0"/>
                <w:sz w:val="24"/>
              </w:rPr>
              <w:t>，经营范围包括：一般项目：第一类医疗器械生产；第一类医疗器械销售；非居住房地产租赁；技术服务、技术开发、技术咨询、技术交流、技术转让、技术推广；物业管理（除依法须经批准的项目外，凭营业执照依法自主开展经营活动）。</w:t>
            </w:r>
          </w:p>
          <w:p>
            <w:pPr>
              <w:pStyle w:val="2"/>
              <w:ind w:firstLine="480" w:firstLineChars="200"/>
              <w:rPr>
                <w:rFonts w:ascii="Times New Roman" w:hAnsi="Times New Roman"/>
                <w:color w:val="auto"/>
                <w:kern w:val="0"/>
                <w:sz w:val="24"/>
                <w:szCs w:val="24"/>
              </w:rPr>
            </w:pPr>
            <w:r>
              <w:rPr>
                <w:rFonts w:hint="eastAsia" w:ascii="Times New Roman" w:hAnsi="Times New Roman"/>
                <w:color w:val="auto"/>
                <w:kern w:val="0"/>
                <w:sz w:val="24"/>
                <w:szCs w:val="24"/>
              </w:rPr>
              <w:t>现由于企业发展需要，拟投资100万元，利用厂内现有空地，建设一座179.25m</w:t>
            </w:r>
            <w:r>
              <w:rPr>
                <w:rFonts w:hint="eastAsia" w:ascii="Times New Roman" w:hAnsi="Times New Roman"/>
                <w:color w:val="auto"/>
                <w:kern w:val="0"/>
                <w:sz w:val="24"/>
                <w:szCs w:val="24"/>
                <w:vertAlign w:val="superscript"/>
              </w:rPr>
              <w:t>2</w:t>
            </w:r>
            <w:r>
              <w:rPr>
                <w:rFonts w:hint="eastAsia" w:ascii="Times New Roman" w:hAnsi="Times New Roman"/>
                <w:color w:val="auto"/>
                <w:kern w:val="0"/>
                <w:sz w:val="24"/>
                <w:szCs w:val="24"/>
              </w:rPr>
              <w:t>的危险化学品仓库。危险化学品仓库用于储存乙醇及柴油，乙醇用于平时擦拭工作台、组装机等设备清洁；柴油用于柴油发电机发电。</w:t>
            </w:r>
          </w:p>
          <w:p>
            <w:pPr>
              <w:pStyle w:val="2"/>
              <w:ind w:firstLine="480" w:firstLineChars="200"/>
              <w:rPr>
                <w:rFonts w:ascii="Times New Roman" w:hAnsi="Times New Roman"/>
                <w:color w:val="auto"/>
                <w:kern w:val="0"/>
                <w:sz w:val="24"/>
                <w:szCs w:val="24"/>
              </w:rPr>
            </w:pPr>
            <w:r>
              <w:rPr>
                <w:rFonts w:hint="eastAsia" w:ascii="Times New Roman" w:hAnsi="Times New Roman"/>
                <w:color w:val="auto"/>
                <w:kern w:val="0"/>
                <w:sz w:val="24"/>
                <w:szCs w:val="24"/>
              </w:rPr>
              <w:t>本项目已于2023年10月23日取得常熟高新技术产业开发区管理委员会备案证（备案证号：常高管投备〔2023〕228号）。</w:t>
            </w:r>
          </w:p>
          <w:p>
            <w:pPr>
              <w:pStyle w:val="2"/>
              <w:ind w:firstLine="480" w:firstLineChars="200"/>
              <w:rPr>
                <w:rFonts w:ascii="Times New Roman" w:hAnsi="Times New Roman"/>
                <w:b/>
                <w:color w:val="auto"/>
              </w:rPr>
            </w:pPr>
            <w:r>
              <w:rPr>
                <w:rFonts w:hint="eastAsia" w:ascii="Times New Roman" w:hAnsi="Times New Roman"/>
                <w:color w:val="auto"/>
                <w:kern w:val="0"/>
                <w:sz w:val="24"/>
                <w:szCs w:val="24"/>
              </w:rPr>
              <w:t>根据《中华人民共和国环境保护法》、《中华人民共和国环境影响评价法》和《建设项目环境保护管理条例》的有关规定，建设项目在实施前必须进行环境影响评价工作。</w:t>
            </w:r>
            <w:r>
              <w:rPr>
                <w:rFonts w:ascii="Times New Roman" w:hAnsi="Times New Roman"/>
                <w:color w:val="auto"/>
                <w:sz w:val="24"/>
                <w:szCs w:val="24"/>
              </w:rPr>
              <w:t>本项目属于《建设项目环境影响评价分类管理名录》（2021版）中</w:t>
            </w:r>
            <w:r>
              <w:rPr>
                <w:rFonts w:hint="eastAsia" w:ascii="Times New Roman" w:hAnsi="Times New Roman"/>
                <w:b/>
                <w:color w:val="auto"/>
                <w:sz w:val="24"/>
                <w:szCs w:val="24"/>
              </w:rPr>
              <w:t>“五十三、装卸搬运和仓储业59”</w:t>
            </w:r>
            <w:r>
              <w:rPr>
                <w:rFonts w:ascii="Times New Roman" w:hAnsi="Times New Roman"/>
                <w:b/>
                <w:color w:val="auto"/>
                <w:sz w:val="24"/>
                <w:szCs w:val="24"/>
              </w:rPr>
              <w:t>中</w:t>
            </w:r>
            <w:r>
              <w:rPr>
                <w:rFonts w:hint="eastAsia" w:ascii="Times New Roman" w:hAnsi="Times New Roman"/>
                <w:b/>
                <w:color w:val="auto"/>
                <w:sz w:val="24"/>
                <w:szCs w:val="24"/>
              </w:rPr>
              <w:t>“149危险品仓储549（不含加油站的油库；不含加气站的气库）”</w:t>
            </w:r>
            <w:r>
              <w:rPr>
                <w:rFonts w:ascii="Times New Roman" w:hAnsi="Times New Roman"/>
                <w:b/>
                <w:color w:val="auto"/>
                <w:sz w:val="24"/>
                <w:szCs w:val="24"/>
              </w:rPr>
              <w:t>中</w:t>
            </w:r>
            <w:r>
              <w:rPr>
                <w:rFonts w:hint="eastAsia" w:ascii="Times New Roman" w:hAnsi="Times New Roman"/>
                <w:b/>
                <w:color w:val="auto"/>
                <w:sz w:val="24"/>
                <w:szCs w:val="24"/>
              </w:rPr>
              <w:t>“其他（含有毒、有害、危险品的仓储；含液化天然气库）”</w:t>
            </w:r>
            <w:r>
              <w:rPr>
                <w:rFonts w:ascii="Times New Roman" w:hAnsi="Times New Roman"/>
                <w:color w:val="auto"/>
                <w:sz w:val="24"/>
                <w:szCs w:val="24"/>
              </w:rPr>
              <w:t>的类别，应编制环境影响评价报告表。据此，受</w:t>
            </w:r>
            <w:r>
              <w:rPr>
                <w:rFonts w:hint="eastAsia" w:ascii="Times New Roman" w:hAnsi="Times New Roman"/>
                <w:color w:val="auto"/>
                <w:kern w:val="0"/>
                <w:sz w:val="24"/>
                <w:szCs w:val="24"/>
              </w:rPr>
              <w:t>朴华（苏州）康复科技有限公司</w:t>
            </w:r>
            <w:r>
              <w:rPr>
                <w:rFonts w:ascii="Times New Roman" w:hAnsi="Times New Roman"/>
                <w:color w:val="auto"/>
                <w:sz w:val="24"/>
                <w:szCs w:val="24"/>
              </w:rPr>
              <w:t>的委托，我公司承担了本项目环境影响报告表的编写工作。</w:t>
            </w:r>
          </w:p>
          <w:p>
            <w:pPr>
              <w:pStyle w:val="46"/>
              <w:numPr>
                <w:ilvl w:val="0"/>
                <w:numId w:val="4"/>
              </w:numPr>
              <w:spacing w:after="0" w:line="360" w:lineRule="auto"/>
              <w:ind w:left="0" w:leftChars="0" w:firstLine="482" w:firstLineChars="200"/>
              <w:jc w:val="both"/>
              <w:rPr>
                <w:rFonts w:ascii="Times New Roman" w:hAnsi="Times New Roman" w:cs="Times New Roman"/>
                <w:b/>
                <w:bCs/>
                <w:color w:val="auto"/>
              </w:rPr>
            </w:pPr>
            <w:r>
              <w:rPr>
                <w:rFonts w:ascii="Times New Roman" w:hAnsi="Times New Roman" w:cs="Times New Roman"/>
                <w:b/>
                <w:bCs/>
                <w:color w:val="auto"/>
              </w:rPr>
              <w:t>项目概况</w:t>
            </w:r>
          </w:p>
          <w:p>
            <w:pPr>
              <w:adjustRightInd w:val="0"/>
              <w:snapToGrid w:val="0"/>
              <w:spacing w:line="360" w:lineRule="auto"/>
              <w:ind w:firstLine="480" w:firstLineChars="200"/>
              <w:rPr>
                <w:color w:val="auto"/>
                <w:kern w:val="0"/>
                <w:sz w:val="24"/>
              </w:rPr>
            </w:pPr>
            <w:r>
              <w:rPr>
                <w:color w:val="auto"/>
                <w:kern w:val="0"/>
                <w:sz w:val="24"/>
              </w:rPr>
              <w:t>项目名称：</w:t>
            </w:r>
            <w:r>
              <w:rPr>
                <w:rFonts w:hint="eastAsia"/>
                <w:color w:val="auto"/>
                <w:kern w:val="0"/>
                <w:sz w:val="24"/>
              </w:rPr>
              <w:t>新建自用危险化学品专用仓库；</w:t>
            </w:r>
          </w:p>
          <w:p>
            <w:pPr>
              <w:pStyle w:val="2"/>
              <w:ind w:firstLine="480"/>
              <w:rPr>
                <w:rFonts w:ascii="Times New Roman" w:hAnsi="Times New Roman"/>
                <w:bCs w:val="0"/>
                <w:color w:val="auto"/>
                <w:kern w:val="0"/>
                <w:sz w:val="24"/>
                <w:szCs w:val="24"/>
              </w:rPr>
            </w:pPr>
            <w:r>
              <w:rPr>
                <w:rFonts w:ascii="Times New Roman" w:hAnsi="Times New Roman"/>
                <w:color w:val="auto"/>
                <w:kern w:val="0"/>
                <w:sz w:val="24"/>
                <w:szCs w:val="24"/>
              </w:rPr>
              <w:t>建设单位：</w:t>
            </w:r>
            <w:r>
              <w:rPr>
                <w:rFonts w:hint="eastAsia" w:ascii="Times New Roman" w:hAnsi="Times New Roman"/>
                <w:color w:val="auto"/>
                <w:kern w:val="0"/>
                <w:sz w:val="24"/>
                <w:szCs w:val="24"/>
              </w:rPr>
              <w:t>朴华（苏州）康复科技有限公司</w:t>
            </w:r>
            <w:r>
              <w:rPr>
                <w:rFonts w:hint="eastAsia" w:ascii="Times New Roman" w:hAnsi="Times New Roman"/>
                <w:bCs w:val="0"/>
                <w:color w:val="auto"/>
                <w:kern w:val="0"/>
                <w:sz w:val="24"/>
                <w:szCs w:val="24"/>
              </w:rPr>
              <w:t>；</w:t>
            </w:r>
          </w:p>
          <w:p>
            <w:pPr>
              <w:pStyle w:val="2"/>
              <w:ind w:firstLine="480"/>
              <w:rPr>
                <w:rFonts w:ascii="Times New Roman" w:hAnsi="Times New Roman"/>
                <w:bCs w:val="0"/>
                <w:color w:val="auto"/>
                <w:kern w:val="0"/>
                <w:sz w:val="24"/>
                <w:szCs w:val="24"/>
              </w:rPr>
            </w:pPr>
            <w:r>
              <w:rPr>
                <w:rFonts w:ascii="Times New Roman" w:hAnsi="Times New Roman"/>
                <w:color w:val="auto"/>
                <w:kern w:val="0"/>
                <w:sz w:val="24"/>
                <w:szCs w:val="24"/>
              </w:rPr>
              <w:t>建设</w:t>
            </w:r>
            <w:r>
              <w:rPr>
                <w:rFonts w:hint="eastAsia" w:ascii="Times New Roman" w:hAnsi="Times New Roman"/>
                <w:color w:val="auto"/>
                <w:kern w:val="0"/>
                <w:sz w:val="24"/>
                <w:szCs w:val="24"/>
              </w:rPr>
              <w:t>地点</w:t>
            </w:r>
            <w:r>
              <w:rPr>
                <w:rFonts w:ascii="Times New Roman" w:hAnsi="Times New Roman"/>
                <w:color w:val="auto"/>
                <w:kern w:val="0"/>
                <w:sz w:val="24"/>
                <w:szCs w:val="24"/>
              </w:rPr>
              <w:t>：</w:t>
            </w:r>
            <w:r>
              <w:rPr>
                <w:rFonts w:ascii="Times New Roman" w:hAnsi="Times New Roman"/>
                <w:color w:val="auto"/>
                <w:sz w:val="24"/>
                <w:szCs w:val="24"/>
              </w:rPr>
              <w:t>常熟市东南街道庐山路68号</w:t>
            </w:r>
            <w:r>
              <w:rPr>
                <w:rFonts w:hint="eastAsia" w:ascii="Times New Roman" w:hAnsi="Times New Roman"/>
                <w:bCs w:val="0"/>
                <w:color w:val="auto"/>
                <w:kern w:val="0"/>
                <w:sz w:val="24"/>
                <w:szCs w:val="24"/>
              </w:rPr>
              <w:t>；</w:t>
            </w:r>
          </w:p>
          <w:p>
            <w:pPr>
              <w:pStyle w:val="2"/>
              <w:ind w:firstLine="480"/>
              <w:rPr>
                <w:rFonts w:ascii="Times New Roman" w:hAnsi="Times New Roman"/>
                <w:bCs w:val="0"/>
                <w:color w:val="auto"/>
                <w:kern w:val="0"/>
                <w:sz w:val="24"/>
                <w:szCs w:val="24"/>
              </w:rPr>
            </w:pPr>
            <w:r>
              <w:rPr>
                <w:rFonts w:ascii="Times New Roman" w:hAnsi="Times New Roman"/>
                <w:color w:val="auto"/>
                <w:kern w:val="0"/>
                <w:sz w:val="24"/>
                <w:szCs w:val="24"/>
              </w:rPr>
              <w:t>建设</w:t>
            </w:r>
            <w:r>
              <w:rPr>
                <w:rFonts w:hint="eastAsia" w:ascii="Times New Roman" w:hAnsi="Times New Roman"/>
                <w:color w:val="auto"/>
                <w:kern w:val="0"/>
                <w:sz w:val="24"/>
                <w:szCs w:val="24"/>
              </w:rPr>
              <w:t>性质</w:t>
            </w:r>
            <w:r>
              <w:rPr>
                <w:rFonts w:ascii="Times New Roman" w:hAnsi="Times New Roman"/>
                <w:color w:val="auto"/>
                <w:kern w:val="0"/>
                <w:sz w:val="24"/>
                <w:szCs w:val="24"/>
              </w:rPr>
              <w:t>：</w:t>
            </w:r>
            <w:r>
              <w:rPr>
                <w:rFonts w:hint="eastAsia" w:ascii="Times New Roman" w:hAnsi="Times New Roman"/>
                <w:color w:val="auto"/>
                <w:kern w:val="0"/>
                <w:sz w:val="24"/>
                <w:szCs w:val="24"/>
              </w:rPr>
              <w:t>扩建</w:t>
            </w:r>
            <w:r>
              <w:rPr>
                <w:rFonts w:hint="eastAsia" w:ascii="Times New Roman" w:hAnsi="Times New Roman"/>
                <w:bCs w:val="0"/>
                <w:color w:val="auto"/>
                <w:kern w:val="0"/>
                <w:sz w:val="24"/>
                <w:szCs w:val="24"/>
              </w:rPr>
              <w:t>；</w:t>
            </w:r>
          </w:p>
          <w:p>
            <w:pPr>
              <w:spacing w:line="360" w:lineRule="auto"/>
              <w:ind w:firstLine="480"/>
              <w:rPr>
                <w:color w:val="auto"/>
                <w:kern w:val="0"/>
                <w:sz w:val="24"/>
              </w:rPr>
            </w:pPr>
            <w:r>
              <w:rPr>
                <w:color w:val="auto"/>
                <w:kern w:val="0"/>
                <w:sz w:val="24"/>
              </w:rPr>
              <w:t>建设内容：利用厂内现有空地建设</w:t>
            </w:r>
            <w:r>
              <w:rPr>
                <w:rFonts w:hint="eastAsia"/>
                <w:color w:val="auto"/>
                <w:kern w:val="0"/>
                <w:sz w:val="24"/>
              </w:rPr>
              <w:t>179.25</w:t>
            </w:r>
            <w:r>
              <w:rPr>
                <w:color w:val="auto"/>
                <w:kern w:val="0"/>
                <w:sz w:val="24"/>
              </w:rPr>
              <w:t>平方米</w:t>
            </w:r>
            <w:r>
              <w:rPr>
                <w:rFonts w:hint="eastAsia"/>
                <w:color w:val="auto"/>
                <w:kern w:val="0"/>
                <w:sz w:val="24"/>
              </w:rPr>
              <w:t>的危险化学品仓库，位于厂区西侧</w:t>
            </w:r>
            <w:r>
              <w:rPr>
                <w:color w:val="auto"/>
                <w:kern w:val="0"/>
                <w:sz w:val="24"/>
              </w:rPr>
              <w:t>，</w:t>
            </w:r>
            <w:r>
              <w:rPr>
                <w:rFonts w:hint="eastAsia"/>
                <w:color w:val="auto"/>
                <w:kern w:val="0"/>
                <w:sz w:val="24"/>
              </w:rPr>
              <w:t>危险化学品仓库</w:t>
            </w:r>
            <w:r>
              <w:rPr>
                <w:color w:val="auto"/>
                <w:kern w:val="0"/>
                <w:sz w:val="24"/>
              </w:rPr>
              <w:t>用于储存</w:t>
            </w:r>
            <w:r>
              <w:rPr>
                <w:rFonts w:hint="eastAsia"/>
                <w:color w:val="auto"/>
                <w:kern w:val="0"/>
                <w:sz w:val="24"/>
              </w:rPr>
              <w:t>乙醇及柴油等化学品。</w:t>
            </w:r>
          </w:p>
          <w:p>
            <w:pPr>
              <w:spacing w:line="360" w:lineRule="auto"/>
              <w:ind w:firstLine="482" w:firstLineChars="200"/>
              <w:rPr>
                <w:color w:val="auto"/>
                <w:sz w:val="24"/>
              </w:rPr>
            </w:pPr>
            <w:r>
              <w:rPr>
                <w:rFonts w:hint="eastAsia"/>
                <w:b/>
                <w:color w:val="auto"/>
                <w:sz w:val="24"/>
              </w:rPr>
              <w:t>3、</w:t>
            </w:r>
            <w:r>
              <w:rPr>
                <w:b/>
                <w:color w:val="auto"/>
                <w:sz w:val="24"/>
              </w:rPr>
              <w:t>人员、生产制度</w:t>
            </w:r>
          </w:p>
          <w:p>
            <w:pPr>
              <w:pStyle w:val="2"/>
              <w:ind w:firstLine="480" w:firstLineChars="200"/>
              <w:rPr>
                <w:color w:val="auto"/>
              </w:rPr>
            </w:pPr>
            <w:r>
              <w:rPr>
                <w:rFonts w:ascii="Times New Roman" w:hAnsi="Times New Roman"/>
                <w:color w:val="auto"/>
                <w:sz w:val="24"/>
                <w:szCs w:val="24"/>
              </w:rPr>
              <w:t>职工人数、工作制度：</w:t>
            </w:r>
            <w:r>
              <w:rPr>
                <w:rFonts w:hint="eastAsia" w:ascii="Times New Roman" w:hAnsi="Times New Roman"/>
                <w:color w:val="auto"/>
                <w:sz w:val="24"/>
                <w:szCs w:val="24"/>
              </w:rPr>
              <w:t>本项目不新增员工，员工由原厂调配，现有员工10人，现有项目实行3班制，每班8小时，年工作336天。</w:t>
            </w:r>
          </w:p>
          <w:p>
            <w:pPr>
              <w:pStyle w:val="46"/>
              <w:spacing w:after="0" w:line="240" w:lineRule="auto"/>
              <w:ind w:left="0" w:leftChars="0"/>
              <w:rPr>
                <w:rFonts w:ascii="Times New Roman" w:hAnsi="Times New Roman" w:cs="Times New Roman"/>
                <w:b/>
                <w:bCs/>
                <w:color w:val="auto"/>
                <w:sz w:val="21"/>
                <w:szCs w:val="21"/>
              </w:rPr>
            </w:pPr>
            <w:r>
              <w:rPr>
                <w:rFonts w:ascii="Times New Roman" w:hAnsi="Times New Roman" w:cs="Times New Roman"/>
                <w:b/>
                <w:bCs/>
                <w:color w:val="auto"/>
                <w:sz w:val="21"/>
                <w:szCs w:val="21"/>
              </w:rPr>
              <w:t>表2-1</w:t>
            </w:r>
            <w:r>
              <w:rPr>
                <w:rFonts w:hint="eastAsia" w:ascii="Times New Roman" w:hAnsi="Times New Roman" w:cs="Times New Roman"/>
                <w:b/>
                <w:bCs/>
                <w:color w:val="auto"/>
                <w:kern w:val="0"/>
                <w:sz w:val="21"/>
                <w:szCs w:val="21"/>
              </w:rPr>
              <w:t>本项目主体工程方案</w:t>
            </w:r>
          </w:p>
          <w:tbl>
            <w:tblPr>
              <w:tblStyle w:val="19"/>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3"/>
              <w:gridCol w:w="1393"/>
              <w:gridCol w:w="1101"/>
              <w:gridCol w:w="1476"/>
              <w:gridCol w:w="1464"/>
              <w:gridCol w:w="900"/>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93" w:type="dxa"/>
                  <w:noWrap/>
                  <w:vAlign w:val="center"/>
                </w:tcPr>
                <w:p>
                  <w:pPr>
                    <w:autoSpaceDE w:val="0"/>
                    <w:autoSpaceDN w:val="0"/>
                    <w:adjustRightInd w:val="0"/>
                    <w:snapToGrid w:val="0"/>
                    <w:jc w:val="center"/>
                    <w:rPr>
                      <w:color w:val="auto"/>
                      <w:szCs w:val="21"/>
                    </w:rPr>
                  </w:pPr>
                  <w:r>
                    <w:rPr>
                      <w:rFonts w:hint="eastAsia"/>
                      <w:color w:val="auto"/>
                      <w:szCs w:val="21"/>
                    </w:rPr>
                    <w:t>本项目总建筑面积</w:t>
                  </w:r>
                  <w:r>
                    <w:rPr>
                      <w:color w:val="auto"/>
                      <w:szCs w:val="21"/>
                    </w:rPr>
                    <w:t>（m</w:t>
                  </w:r>
                  <w:r>
                    <w:rPr>
                      <w:color w:val="auto"/>
                      <w:szCs w:val="21"/>
                      <w:vertAlign w:val="superscript"/>
                    </w:rPr>
                    <w:t>2</w:t>
                  </w:r>
                  <w:r>
                    <w:rPr>
                      <w:color w:val="auto"/>
                      <w:szCs w:val="21"/>
                    </w:rPr>
                    <w:t>）</w:t>
                  </w:r>
                </w:p>
              </w:tc>
              <w:tc>
                <w:tcPr>
                  <w:tcW w:w="1393" w:type="dxa"/>
                  <w:noWrap/>
                  <w:vAlign w:val="center"/>
                </w:tcPr>
                <w:p>
                  <w:pPr>
                    <w:autoSpaceDE w:val="0"/>
                    <w:autoSpaceDN w:val="0"/>
                    <w:adjustRightInd w:val="0"/>
                    <w:snapToGrid w:val="0"/>
                    <w:jc w:val="center"/>
                    <w:rPr>
                      <w:color w:val="auto"/>
                      <w:szCs w:val="21"/>
                    </w:rPr>
                  </w:pPr>
                  <w:r>
                    <w:rPr>
                      <w:color w:val="auto"/>
                      <w:szCs w:val="21"/>
                    </w:rPr>
                    <w:t>建筑物名称</w:t>
                  </w:r>
                </w:p>
              </w:tc>
              <w:tc>
                <w:tcPr>
                  <w:tcW w:w="1101" w:type="dxa"/>
                  <w:noWrap/>
                  <w:vAlign w:val="center"/>
                </w:tcPr>
                <w:p>
                  <w:pPr>
                    <w:autoSpaceDE w:val="0"/>
                    <w:autoSpaceDN w:val="0"/>
                    <w:adjustRightInd w:val="0"/>
                    <w:snapToGrid w:val="0"/>
                    <w:jc w:val="center"/>
                    <w:rPr>
                      <w:color w:val="auto"/>
                      <w:szCs w:val="21"/>
                    </w:rPr>
                  </w:pPr>
                  <w:r>
                    <w:rPr>
                      <w:rFonts w:hint="eastAsia"/>
                      <w:color w:val="auto"/>
                      <w:szCs w:val="21"/>
                    </w:rPr>
                    <w:t>占地</w:t>
                  </w:r>
                  <w:r>
                    <w:rPr>
                      <w:color w:val="auto"/>
                      <w:szCs w:val="21"/>
                    </w:rPr>
                    <w:t>面积（m</w:t>
                  </w:r>
                  <w:r>
                    <w:rPr>
                      <w:color w:val="auto"/>
                      <w:szCs w:val="21"/>
                      <w:vertAlign w:val="superscript"/>
                    </w:rPr>
                    <w:t>2</w:t>
                  </w:r>
                  <w:r>
                    <w:rPr>
                      <w:color w:val="auto"/>
                      <w:szCs w:val="21"/>
                    </w:rPr>
                    <w:t>）</w:t>
                  </w:r>
                </w:p>
              </w:tc>
              <w:tc>
                <w:tcPr>
                  <w:tcW w:w="1476" w:type="dxa"/>
                  <w:noWrap/>
                  <w:vAlign w:val="center"/>
                </w:tcPr>
                <w:p>
                  <w:pPr>
                    <w:autoSpaceDE w:val="0"/>
                    <w:autoSpaceDN w:val="0"/>
                    <w:adjustRightInd w:val="0"/>
                    <w:snapToGrid w:val="0"/>
                    <w:jc w:val="center"/>
                    <w:rPr>
                      <w:color w:val="auto"/>
                      <w:szCs w:val="21"/>
                    </w:rPr>
                  </w:pPr>
                  <w:r>
                    <w:rPr>
                      <w:rFonts w:hint="eastAsia"/>
                      <w:color w:val="auto"/>
                      <w:szCs w:val="21"/>
                    </w:rPr>
                    <w:t>建筑面积（</w:t>
                  </w:r>
                  <w:r>
                    <w:rPr>
                      <w:color w:val="auto"/>
                      <w:szCs w:val="21"/>
                    </w:rPr>
                    <w:t>m</w:t>
                  </w:r>
                  <w:r>
                    <w:rPr>
                      <w:color w:val="auto"/>
                      <w:szCs w:val="21"/>
                      <w:vertAlign w:val="superscript"/>
                    </w:rPr>
                    <w:t>2</w:t>
                  </w:r>
                  <w:r>
                    <w:rPr>
                      <w:rFonts w:hint="eastAsia"/>
                      <w:color w:val="auto"/>
                      <w:szCs w:val="21"/>
                    </w:rPr>
                    <w:t>）</w:t>
                  </w:r>
                </w:p>
              </w:tc>
              <w:tc>
                <w:tcPr>
                  <w:tcW w:w="1464" w:type="dxa"/>
                  <w:noWrap/>
                  <w:vAlign w:val="center"/>
                </w:tcPr>
                <w:p>
                  <w:pPr>
                    <w:autoSpaceDE w:val="0"/>
                    <w:autoSpaceDN w:val="0"/>
                    <w:adjustRightInd w:val="0"/>
                    <w:snapToGrid w:val="0"/>
                    <w:jc w:val="center"/>
                    <w:rPr>
                      <w:color w:val="auto"/>
                      <w:szCs w:val="21"/>
                    </w:rPr>
                  </w:pPr>
                  <w:r>
                    <w:rPr>
                      <w:color w:val="auto"/>
                      <w:szCs w:val="21"/>
                    </w:rPr>
                    <w:t>耐火等级</w:t>
                  </w:r>
                </w:p>
              </w:tc>
              <w:tc>
                <w:tcPr>
                  <w:tcW w:w="900" w:type="dxa"/>
                  <w:noWrap/>
                  <w:vAlign w:val="center"/>
                </w:tcPr>
                <w:p>
                  <w:pPr>
                    <w:autoSpaceDE w:val="0"/>
                    <w:autoSpaceDN w:val="0"/>
                    <w:adjustRightInd w:val="0"/>
                    <w:snapToGrid w:val="0"/>
                    <w:jc w:val="center"/>
                    <w:rPr>
                      <w:color w:val="auto"/>
                      <w:szCs w:val="21"/>
                    </w:rPr>
                  </w:pPr>
                  <w:r>
                    <w:rPr>
                      <w:rFonts w:hint="eastAsia"/>
                      <w:color w:val="auto"/>
                      <w:szCs w:val="21"/>
                    </w:rPr>
                    <w:t>建筑类别</w:t>
                  </w:r>
                </w:p>
              </w:tc>
              <w:tc>
                <w:tcPr>
                  <w:tcW w:w="653" w:type="dxa"/>
                  <w:noWrap/>
                  <w:vAlign w:val="center"/>
                </w:tcPr>
                <w:p>
                  <w:pPr>
                    <w:autoSpaceDE w:val="0"/>
                    <w:autoSpaceDN w:val="0"/>
                    <w:adjustRightInd w:val="0"/>
                    <w:snapToGrid w:val="0"/>
                    <w:jc w:val="center"/>
                    <w:rPr>
                      <w:color w:val="auto"/>
                      <w:szCs w:val="21"/>
                    </w:rPr>
                  </w:pPr>
                  <w:r>
                    <w:rPr>
                      <w:rFonts w:hint="eastAsia"/>
                      <w:color w:val="auto"/>
                      <w:szCs w:val="21"/>
                    </w:rPr>
                    <w:t>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93" w:type="dxa"/>
                  <w:noWrap/>
                  <w:vAlign w:val="center"/>
                </w:tcPr>
                <w:p>
                  <w:pPr>
                    <w:autoSpaceDE w:val="0"/>
                    <w:autoSpaceDN w:val="0"/>
                    <w:adjustRightInd w:val="0"/>
                    <w:snapToGrid w:val="0"/>
                    <w:jc w:val="center"/>
                    <w:rPr>
                      <w:color w:val="auto"/>
                      <w:szCs w:val="21"/>
                    </w:rPr>
                  </w:pPr>
                  <w:r>
                    <w:rPr>
                      <w:rFonts w:hint="eastAsia"/>
                      <w:color w:val="auto"/>
                      <w:szCs w:val="21"/>
                    </w:rPr>
                    <w:t>179.25</w:t>
                  </w:r>
                </w:p>
              </w:tc>
              <w:tc>
                <w:tcPr>
                  <w:tcW w:w="1393" w:type="dxa"/>
                  <w:noWrap/>
                  <w:vAlign w:val="center"/>
                </w:tcPr>
                <w:p>
                  <w:pPr>
                    <w:autoSpaceDE w:val="0"/>
                    <w:autoSpaceDN w:val="0"/>
                    <w:adjustRightInd w:val="0"/>
                    <w:snapToGrid w:val="0"/>
                    <w:jc w:val="center"/>
                    <w:rPr>
                      <w:color w:val="auto"/>
                      <w:szCs w:val="21"/>
                    </w:rPr>
                  </w:pPr>
                  <w:r>
                    <w:rPr>
                      <w:rFonts w:hint="eastAsia"/>
                      <w:color w:val="auto"/>
                      <w:szCs w:val="21"/>
                    </w:rPr>
                    <w:t>危险化学品仓库</w:t>
                  </w:r>
                </w:p>
              </w:tc>
              <w:tc>
                <w:tcPr>
                  <w:tcW w:w="1101" w:type="dxa"/>
                  <w:noWrap/>
                  <w:vAlign w:val="center"/>
                </w:tcPr>
                <w:p>
                  <w:pPr>
                    <w:autoSpaceDE w:val="0"/>
                    <w:autoSpaceDN w:val="0"/>
                    <w:adjustRightInd w:val="0"/>
                    <w:snapToGrid w:val="0"/>
                    <w:jc w:val="center"/>
                    <w:rPr>
                      <w:color w:val="auto"/>
                      <w:szCs w:val="21"/>
                    </w:rPr>
                  </w:pPr>
                  <w:r>
                    <w:rPr>
                      <w:rFonts w:hint="eastAsia"/>
                      <w:color w:val="auto"/>
                      <w:szCs w:val="21"/>
                    </w:rPr>
                    <w:t>179.25</w:t>
                  </w:r>
                </w:p>
              </w:tc>
              <w:tc>
                <w:tcPr>
                  <w:tcW w:w="1476" w:type="dxa"/>
                  <w:noWrap/>
                  <w:vAlign w:val="center"/>
                </w:tcPr>
                <w:p>
                  <w:pPr>
                    <w:autoSpaceDE w:val="0"/>
                    <w:autoSpaceDN w:val="0"/>
                    <w:adjustRightInd w:val="0"/>
                    <w:snapToGrid w:val="0"/>
                    <w:jc w:val="center"/>
                    <w:rPr>
                      <w:color w:val="auto"/>
                      <w:szCs w:val="21"/>
                    </w:rPr>
                  </w:pPr>
                  <w:r>
                    <w:rPr>
                      <w:rFonts w:hint="eastAsia"/>
                      <w:color w:val="auto"/>
                      <w:szCs w:val="21"/>
                    </w:rPr>
                    <w:t>179.25</w:t>
                  </w:r>
                </w:p>
              </w:tc>
              <w:tc>
                <w:tcPr>
                  <w:tcW w:w="1464" w:type="dxa"/>
                  <w:noWrap/>
                  <w:vAlign w:val="center"/>
                </w:tcPr>
                <w:p>
                  <w:pPr>
                    <w:autoSpaceDE w:val="0"/>
                    <w:autoSpaceDN w:val="0"/>
                    <w:adjustRightInd w:val="0"/>
                    <w:snapToGrid w:val="0"/>
                    <w:jc w:val="center"/>
                    <w:rPr>
                      <w:color w:val="auto"/>
                      <w:szCs w:val="21"/>
                    </w:rPr>
                  </w:pPr>
                  <w:r>
                    <w:rPr>
                      <w:color w:val="auto"/>
                      <w:szCs w:val="21"/>
                    </w:rPr>
                    <w:t>一级</w:t>
                  </w:r>
                </w:p>
              </w:tc>
              <w:tc>
                <w:tcPr>
                  <w:tcW w:w="900" w:type="dxa"/>
                  <w:noWrap/>
                  <w:vAlign w:val="center"/>
                </w:tcPr>
                <w:p>
                  <w:pPr>
                    <w:autoSpaceDE w:val="0"/>
                    <w:autoSpaceDN w:val="0"/>
                    <w:adjustRightInd w:val="0"/>
                    <w:snapToGrid w:val="0"/>
                    <w:jc w:val="center"/>
                    <w:rPr>
                      <w:color w:val="auto"/>
                      <w:szCs w:val="21"/>
                    </w:rPr>
                  </w:pPr>
                  <w:r>
                    <w:rPr>
                      <w:rFonts w:hint="eastAsia"/>
                      <w:color w:val="auto"/>
                      <w:szCs w:val="21"/>
                    </w:rPr>
                    <w:t>甲类</w:t>
                  </w:r>
                </w:p>
              </w:tc>
              <w:tc>
                <w:tcPr>
                  <w:tcW w:w="653" w:type="dxa"/>
                  <w:noWrap/>
                  <w:vAlign w:val="center"/>
                </w:tcPr>
                <w:p>
                  <w:pPr>
                    <w:autoSpaceDE w:val="0"/>
                    <w:autoSpaceDN w:val="0"/>
                    <w:adjustRightInd w:val="0"/>
                    <w:snapToGrid w:val="0"/>
                    <w:jc w:val="center"/>
                    <w:rPr>
                      <w:color w:val="auto"/>
                      <w:szCs w:val="21"/>
                    </w:rPr>
                  </w:pPr>
                  <w:r>
                    <w:rPr>
                      <w:color w:val="auto"/>
                      <w:szCs w:val="21"/>
                    </w:rPr>
                    <w:t>1</w:t>
                  </w:r>
                </w:p>
              </w:tc>
            </w:tr>
          </w:tbl>
          <w:p>
            <w:pPr>
              <w:pStyle w:val="46"/>
              <w:snapToGrid w:val="0"/>
              <w:spacing w:after="0" w:line="360" w:lineRule="auto"/>
              <w:ind w:left="0" w:leftChars="0" w:firstLine="482" w:firstLineChars="200"/>
              <w:jc w:val="both"/>
              <w:rPr>
                <w:rFonts w:ascii="Times New Roman" w:hAnsi="Times New Roman" w:cs="Times New Roman"/>
                <w:b/>
                <w:bCs/>
                <w:color w:val="auto"/>
              </w:rPr>
            </w:pPr>
            <w:r>
              <w:rPr>
                <w:rFonts w:hint="eastAsia" w:ascii="Times New Roman" w:hAnsi="Times New Roman" w:cs="Times New Roman"/>
                <w:b/>
                <w:bCs/>
                <w:color w:val="auto"/>
              </w:rPr>
              <w:t>4</w:t>
            </w:r>
            <w:r>
              <w:rPr>
                <w:rFonts w:ascii="Times New Roman" w:hAnsi="Times New Roman" w:cs="Times New Roman"/>
                <w:b/>
                <w:bCs/>
                <w:color w:val="auto"/>
              </w:rPr>
              <w:t>、公辅设施</w:t>
            </w:r>
          </w:p>
          <w:p>
            <w:pPr>
              <w:keepNext/>
              <w:keepLines/>
              <w:adjustRightInd w:val="0"/>
              <w:spacing w:line="360" w:lineRule="auto"/>
              <w:ind w:firstLine="480" w:firstLineChars="200"/>
              <w:rPr>
                <w:b/>
                <w:bCs/>
                <w:color w:val="auto"/>
                <w:sz w:val="24"/>
              </w:rPr>
            </w:pPr>
            <w:r>
              <w:rPr>
                <w:color w:val="auto"/>
                <w:sz w:val="24"/>
                <w:szCs w:val="18"/>
              </w:rPr>
              <w:t>本项目公用及辅助工程见下表2-</w:t>
            </w:r>
            <w:r>
              <w:rPr>
                <w:rFonts w:hint="eastAsia"/>
                <w:color w:val="auto"/>
                <w:sz w:val="24"/>
                <w:szCs w:val="18"/>
              </w:rPr>
              <w:t>2</w:t>
            </w:r>
            <w:r>
              <w:rPr>
                <w:color w:val="auto"/>
                <w:sz w:val="24"/>
                <w:szCs w:val="18"/>
              </w:rPr>
              <w:t>。</w:t>
            </w:r>
          </w:p>
          <w:p>
            <w:pPr>
              <w:adjustRightInd w:val="0"/>
              <w:snapToGrid w:val="0"/>
              <w:ind w:firstLine="422" w:firstLineChars="200"/>
              <w:jc w:val="center"/>
              <w:rPr>
                <w:b/>
                <w:bCs/>
                <w:color w:val="auto"/>
                <w:szCs w:val="21"/>
              </w:rPr>
            </w:pPr>
            <w:r>
              <w:rPr>
                <w:b/>
                <w:bCs/>
                <w:color w:val="auto"/>
                <w:szCs w:val="21"/>
              </w:rPr>
              <w:t>表2-</w:t>
            </w:r>
            <w:r>
              <w:rPr>
                <w:rFonts w:hint="eastAsia"/>
                <w:b/>
                <w:bCs/>
                <w:color w:val="auto"/>
                <w:szCs w:val="21"/>
              </w:rPr>
              <w:t>2</w:t>
            </w:r>
            <w:r>
              <w:rPr>
                <w:b/>
                <w:bCs/>
                <w:color w:val="auto"/>
                <w:szCs w:val="21"/>
              </w:rPr>
              <w:t>本项目公用及储运工程</w:t>
            </w:r>
          </w:p>
          <w:tbl>
            <w:tblPr>
              <w:tblStyle w:val="19"/>
              <w:tblW w:w="840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3"/>
              <w:gridCol w:w="714"/>
              <w:gridCol w:w="1053"/>
              <w:gridCol w:w="1654"/>
              <w:gridCol w:w="1286"/>
              <w:gridCol w:w="1511"/>
              <w:gridCol w:w="15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0" w:type="pct"/>
                  <w:vMerge w:val="restart"/>
                  <w:tcBorders>
                    <w:top w:val="single" w:color="auto" w:sz="4" w:space="0"/>
                    <w:left w:val="single" w:color="auto" w:sz="4" w:space="0"/>
                  </w:tcBorders>
                  <w:noWrap/>
                  <w:vAlign w:val="center"/>
                </w:tcPr>
                <w:p>
                  <w:pPr>
                    <w:jc w:val="center"/>
                    <w:rPr>
                      <w:color w:val="auto"/>
                      <w:szCs w:val="21"/>
                    </w:rPr>
                  </w:pPr>
                  <w:r>
                    <w:rPr>
                      <w:color w:val="auto"/>
                      <w:szCs w:val="21"/>
                    </w:rPr>
                    <w:t>分类</w:t>
                  </w:r>
                </w:p>
              </w:tc>
              <w:tc>
                <w:tcPr>
                  <w:tcW w:w="1051" w:type="pct"/>
                  <w:gridSpan w:val="2"/>
                  <w:vMerge w:val="restart"/>
                  <w:tcBorders>
                    <w:top w:val="single" w:color="auto" w:sz="4" w:space="0"/>
                  </w:tcBorders>
                  <w:noWrap/>
                  <w:vAlign w:val="center"/>
                </w:tcPr>
                <w:p>
                  <w:pPr>
                    <w:jc w:val="center"/>
                    <w:rPr>
                      <w:color w:val="auto"/>
                      <w:szCs w:val="21"/>
                    </w:rPr>
                  </w:pPr>
                  <w:r>
                    <w:rPr>
                      <w:color w:val="auto"/>
                      <w:szCs w:val="21"/>
                    </w:rPr>
                    <w:t>建设名称</w:t>
                  </w:r>
                </w:p>
              </w:tc>
              <w:tc>
                <w:tcPr>
                  <w:tcW w:w="2648" w:type="pct"/>
                  <w:gridSpan w:val="3"/>
                  <w:tcBorders>
                    <w:top w:val="single" w:color="auto" w:sz="4" w:space="0"/>
                    <w:right w:val="single" w:color="auto" w:sz="4" w:space="0"/>
                  </w:tcBorders>
                  <w:noWrap/>
                  <w:vAlign w:val="center"/>
                </w:tcPr>
                <w:p>
                  <w:pPr>
                    <w:jc w:val="center"/>
                    <w:rPr>
                      <w:color w:val="auto"/>
                      <w:szCs w:val="21"/>
                    </w:rPr>
                  </w:pPr>
                  <w:r>
                    <w:rPr>
                      <w:color w:val="auto"/>
                      <w:szCs w:val="21"/>
                    </w:rPr>
                    <w:t>设计能力</w:t>
                  </w:r>
                </w:p>
              </w:tc>
              <w:tc>
                <w:tcPr>
                  <w:tcW w:w="900" w:type="pct"/>
                  <w:vMerge w:val="restart"/>
                  <w:tcBorders>
                    <w:top w:val="single" w:color="auto" w:sz="4" w:space="0"/>
                    <w:right w:val="single" w:color="auto" w:sz="4" w:space="0"/>
                  </w:tcBorders>
                  <w:noWrap/>
                  <w:vAlign w:val="center"/>
                </w:tcPr>
                <w:p>
                  <w:pPr>
                    <w:jc w:val="center"/>
                    <w:rPr>
                      <w:color w:val="auto"/>
                      <w:szCs w:val="21"/>
                    </w:rPr>
                  </w:pPr>
                  <w:r>
                    <w:rPr>
                      <w:color w:val="auto"/>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1051" w:type="pct"/>
                  <w:gridSpan w:val="2"/>
                  <w:vMerge w:val="continue"/>
                  <w:noWrap/>
                  <w:vAlign w:val="center"/>
                </w:tcPr>
                <w:p>
                  <w:pPr>
                    <w:jc w:val="center"/>
                    <w:rPr>
                      <w:color w:val="auto"/>
                      <w:szCs w:val="21"/>
                    </w:rPr>
                  </w:pPr>
                </w:p>
              </w:tc>
              <w:tc>
                <w:tcPr>
                  <w:tcW w:w="984" w:type="pct"/>
                  <w:noWrap/>
                  <w:vAlign w:val="center"/>
                </w:tcPr>
                <w:p>
                  <w:pPr>
                    <w:jc w:val="center"/>
                    <w:rPr>
                      <w:color w:val="auto"/>
                      <w:szCs w:val="21"/>
                    </w:rPr>
                  </w:pPr>
                  <w:r>
                    <w:rPr>
                      <w:color w:val="auto"/>
                      <w:szCs w:val="21"/>
                    </w:rPr>
                    <w:t>扩建前</w:t>
                  </w:r>
                </w:p>
              </w:tc>
              <w:tc>
                <w:tcPr>
                  <w:tcW w:w="765" w:type="pct"/>
                  <w:noWrap/>
                  <w:vAlign w:val="center"/>
                </w:tcPr>
                <w:p>
                  <w:pPr>
                    <w:jc w:val="center"/>
                    <w:rPr>
                      <w:color w:val="auto"/>
                      <w:szCs w:val="21"/>
                    </w:rPr>
                  </w:pPr>
                  <w:r>
                    <w:rPr>
                      <w:color w:val="auto"/>
                      <w:szCs w:val="21"/>
                    </w:rPr>
                    <w:t>扩建后</w:t>
                  </w:r>
                </w:p>
              </w:tc>
              <w:tc>
                <w:tcPr>
                  <w:tcW w:w="898" w:type="pct"/>
                  <w:tcBorders>
                    <w:right w:val="single" w:color="auto" w:sz="4" w:space="0"/>
                  </w:tcBorders>
                  <w:noWrap/>
                  <w:vAlign w:val="center"/>
                </w:tcPr>
                <w:p>
                  <w:pPr>
                    <w:jc w:val="center"/>
                    <w:rPr>
                      <w:color w:val="auto"/>
                      <w:szCs w:val="21"/>
                    </w:rPr>
                  </w:pPr>
                  <w:r>
                    <w:rPr>
                      <w:rFonts w:hint="eastAsia"/>
                      <w:color w:val="auto"/>
                      <w:szCs w:val="21"/>
                    </w:rPr>
                    <w:t>变化情况</w:t>
                  </w:r>
                </w:p>
              </w:tc>
              <w:tc>
                <w:tcPr>
                  <w:tcW w:w="900" w:type="pct"/>
                  <w:vMerge w:val="continue"/>
                  <w:tcBorders>
                    <w:right w:val="single" w:color="auto" w:sz="4" w:space="0"/>
                  </w:tcBorders>
                  <w:noWrap/>
                  <w:vAlign w:val="center"/>
                </w:tcPr>
                <w:p>
                  <w:pPr>
                    <w:jc w:val="center"/>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0" w:type="pct"/>
                  <w:tcBorders>
                    <w:left w:val="single" w:color="auto" w:sz="4" w:space="0"/>
                  </w:tcBorders>
                  <w:noWrap/>
                  <w:vAlign w:val="center"/>
                </w:tcPr>
                <w:p>
                  <w:pPr>
                    <w:jc w:val="center"/>
                    <w:rPr>
                      <w:color w:val="auto"/>
                      <w:szCs w:val="21"/>
                    </w:rPr>
                  </w:pPr>
                  <w:r>
                    <w:rPr>
                      <w:color w:val="auto"/>
                      <w:szCs w:val="21"/>
                    </w:rPr>
                    <w:t>主体工程</w:t>
                  </w:r>
                </w:p>
              </w:tc>
              <w:tc>
                <w:tcPr>
                  <w:tcW w:w="1051" w:type="pct"/>
                  <w:gridSpan w:val="2"/>
                  <w:noWrap/>
                  <w:vAlign w:val="center"/>
                </w:tcPr>
                <w:p>
                  <w:pPr>
                    <w:jc w:val="center"/>
                    <w:rPr>
                      <w:color w:val="auto"/>
                      <w:szCs w:val="21"/>
                    </w:rPr>
                  </w:pPr>
                  <w:r>
                    <w:rPr>
                      <w:rFonts w:hint="eastAsia"/>
                      <w:color w:val="auto"/>
                      <w:szCs w:val="21"/>
                    </w:rPr>
                    <w:t>生产车间</w:t>
                  </w:r>
                </w:p>
              </w:tc>
              <w:tc>
                <w:tcPr>
                  <w:tcW w:w="984" w:type="pct"/>
                  <w:noWrap/>
                  <w:vAlign w:val="center"/>
                </w:tcPr>
                <w:p>
                  <w:pPr>
                    <w:jc w:val="center"/>
                    <w:rPr>
                      <w:color w:val="auto"/>
                      <w:szCs w:val="21"/>
                    </w:rPr>
                  </w:pPr>
                  <w:r>
                    <w:rPr>
                      <w:rFonts w:hint="eastAsia"/>
                      <w:color w:val="auto"/>
                      <w:szCs w:val="21"/>
                    </w:rPr>
                    <w:t>24800m</w:t>
                  </w:r>
                  <w:r>
                    <w:rPr>
                      <w:rFonts w:hint="eastAsia"/>
                      <w:color w:val="auto"/>
                      <w:szCs w:val="21"/>
                      <w:vertAlign w:val="superscript"/>
                    </w:rPr>
                    <w:t>2</w:t>
                  </w:r>
                </w:p>
              </w:tc>
              <w:tc>
                <w:tcPr>
                  <w:tcW w:w="765" w:type="pct"/>
                  <w:noWrap/>
                  <w:vAlign w:val="center"/>
                </w:tcPr>
                <w:p>
                  <w:pPr>
                    <w:jc w:val="center"/>
                    <w:rPr>
                      <w:color w:val="auto"/>
                      <w:szCs w:val="21"/>
                    </w:rPr>
                  </w:pPr>
                  <w:r>
                    <w:rPr>
                      <w:rFonts w:hint="eastAsia"/>
                      <w:color w:val="auto"/>
                      <w:szCs w:val="21"/>
                    </w:rPr>
                    <w:t>24800m</w:t>
                  </w:r>
                  <w:r>
                    <w:rPr>
                      <w:rFonts w:hint="eastAsia"/>
                      <w:color w:val="auto"/>
                      <w:szCs w:val="21"/>
                      <w:vertAlign w:val="superscript"/>
                    </w:rPr>
                    <w:t>2</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rFonts w:hint="eastAsia"/>
                      <w:color w:val="auto"/>
                      <w:szCs w:val="21"/>
                    </w:rPr>
                    <w:t>本项目不涉及生产，生产车间依托原有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restart"/>
                  <w:tcBorders>
                    <w:left w:val="single" w:color="auto" w:sz="4" w:space="0"/>
                  </w:tcBorders>
                  <w:noWrap/>
                  <w:vAlign w:val="center"/>
                </w:tcPr>
                <w:p>
                  <w:pPr>
                    <w:jc w:val="center"/>
                    <w:rPr>
                      <w:color w:val="auto"/>
                      <w:szCs w:val="21"/>
                    </w:rPr>
                  </w:pPr>
                  <w:r>
                    <w:rPr>
                      <w:rFonts w:hint="eastAsia"/>
                      <w:color w:val="auto"/>
                      <w:szCs w:val="21"/>
                    </w:rPr>
                    <w:t>储运工程</w:t>
                  </w:r>
                </w:p>
              </w:tc>
              <w:tc>
                <w:tcPr>
                  <w:tcW w:w="1051" w:type="pct"/>
                  <w:gridSpan w:val="2"/>
                  <w:noWrap/>
                  <w:vAlign w:val="center"/>
                </w:tcPr>
                <w:p>
                  <w:pPr>
                    <w:jc w:val="center"/>
                    <w:rPr>
                      <w:color w:val="auto"/>
                      <w:szCs w:val="21"/>
                    </w:rPr>
                  </w:pPr>
                  <w:r>
                    <w:rPr>
                      <w:rFonts w:hint="eastAsia"/>
                      <w:color w:val="auto"/>
                      <w:szCs w:val="21"/>
                    </w:rPr>
                    <w:t>成品仓库</w:t>
                  </w:r>
                </w:p>
              </w:tc>
              <w:tc>
                <w:tcPr>
                  <w:tcW w:w="984" w:type="pct"/>
                  <w:noWrap/>
                  <w:vAlign w:val="center"/>
                </w:tcPr>
                <w:p>
                  <w:pPr>
                    <w:jc w:val="center"/>
                    <w:rPr>
                      <w:color w:val="auto"/>
                      <w:szCs w:val="21"/>
                    </w:rPr>
                  </w:pPr>
                  <w:r>
                    <w:rPr>
                      <w:rFonts w:hint="eastAsia"/>
                      <w:color w:val="auto"/>
                      <w:szCs w:val="21"/>
                    </w:rPr>
                    <w:t>300m</w:t>
                  </w:r>
                  <w:r>
                    <w:rPr>
                      <w:rFonts w:hint="eastAsia"/>
                      <w:color w:val="auto"/>
                      <w:szCs w:val="21"/>
                      <w:vertAlign w:val="superscript"/>
                    </w:rPr>
                    <w:t>2</w:t>
                  </w:r>
                </w:p>
              </w:tc>
              <w:tc>
                <w:tcPr>
                  <w:tcW w:w="765" w:type="pct"/>
                  <w:noWrap/>
                  <w:vAlign w:val="center"/>
                </w:tcPr>
                <w:p>
                  <w:pPr>
                    <w:jc w:val="center"/>
                    <w:rPr>
                      <w:color w:val="auto"/>
                      <w:szCs w:val="21"/>
                    </w:rPr>
                  </w:pPr>
                  <w:r>
                    <w:rPr>
                      <w:rFonts w:hint="eastAsia"/>
                      <w:color w:val="auto"/>
                      <w:szCs w:val="21"/>
                    </w:rPr>
                    <w:t>300m</w:t>
                  </w:r>
                  <w:r>
                    <w:rPr>
                      <w:rFonts w:hint="eastAsia"/>
                      <w:color w:val="auto"/>
                      <w:szCs w:val="21"/>
                      <w:vertAlign w:val="superscript"/>
                    </w:rPr>
                    <w:t>2</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rFonts w:hint="eastAsia"/>
                      <w:color w:val="auto"/>
                      <w:szCs w:val="21"/>
                    </w:rPr>
                    <w:t>本项目不涉及生产，成品仓库依托原有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1051" w:type="pct"/>
                  <w:gridSpan w:val="2"/>
                  <w:noWrap/>
                  <w:vAlign w:val="center"/>
                </w:tcPr>
                <w:p>
                  <w:pPr>
                    <w:jc w:val="center"/>
                    <w:rPr>
                      <w:color w:val="auto"/>
                      <w:szCs w:val="21"/>
                    </w:rPr>
                  </w:pPr>
                  <w:r>
                    <w:rPr>
                      <w:rFonts w:hint="eastAsia"/>
                      <w:color w:val="auto"/>
                      <w:szCs w:val="21"/>
                    </w:rPr>
                    <w:t>原料仓库</w:t>
                  </w:r>
                </w:p>
              </w:tc>
              <w:tc>
                <w:tcPr>
                  <w:tcW w:w="984" w:type="pct"/>
                  <w:noWrap/>
                  <w:vAlign w:val="center"/>
                </w:tcPr>
                <w:p>
                  <w:pPr>
                    <w:jc w:val="center"/>
                    <w:rPr>
                      <w:color w:val="auto"/>
                      <w:szCs w:val="21"/>
                    </w:rPr>
                  </w:pPr>
                  <w:r>
                    <w:rPr>
                      <w:rFonts w:hint="eastAsia"/>
                      <w:color w:val="auto"/>
                      <w:szCs w:val="21"/>
                    </w:rPr>
                    <w:t>200m</w:t>
                  </w:r>
                  <w:r>
                    <w:rPr>
                      <w:rFonts w:hint="eastAsia"/>
                      <w:color w:val="auto"/>
                      <w:szCs w:val="21"/>
                      <w:vertAlign w:val="superscript"/>
                    </w:rPr>
                    <w:t>2</w:t>
                  </w:r>
                </w:p>
              </w:tc>
              <w:tc>
                <w:tcPr>
                  <w:tcW w:w="765" w:type="pct"/>
                  <w:noWrap/>
                  <w:vAlign w:val="center"/>
                </w:tcPr>
                <w:p>
                  <w:pPr>
                    <w:jc w:val="center"/>
                    <w:rPr>
                      <w:color w:val="auto"/>
                      <w:szCs w:val="21"/>
                    </w:rPr>
                  </w:pPr>
                  <w:r>
                    <w:rPr>
                      <w:rFonts w:hint="eastAsia"/>
                      <w:color w:val="auto"/>
                      <w:szCs w:val="21"/>
                    </w:rPr>
                    <w:t>200m</w:t>
                  </w:r>
                  <w:r>
                    <w:rPr>
                      <w:rFonts w:hint="eastAsia"/>
                      <w:color w:val="auto"/>
                      <w:szCs w:val="21"/>
                      <w:vertAlign w:val="superscript"/>
                    </w:rPr>
                    <w:t>2</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rFonts w:hint="eastAsia"/>
                      <w:color w:val="auto"/>
                      <w:szCs w:val="21"/>
                    </w:rPr>
                    <w:t>本项目不涉及生产，原料仓库依托原有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1051" w:type="pct"/>
                  <w:gridSpan w:val="2"/>
                  <w:noWrap/>
                  <w:vAlign w:val="center"/>
                </w:tcPr>
                <w:p>
                  <w:pPr>
                    <w:jc w:val="center"/>
                    <w:rPr>
                      <w:color w:val="auto"/>
                      <w:szCs w:val="21"/>
                    </w:rPr>
                  </w:pPr>
                  <w:r>
                    <w:rPr>
                      <w:rFonts w:hint="eastAsia"/>
                      <w:color w:val="auto"/>
                      <w:szCs w:val="21"/>
                    </w:rPr>
                    <w:t>危险化学品仓库</w:t>
                  </w:r>
                </w:p>
              </w:tc>
              <w:tc>
                <w:tcPr>
                  <w:tcW w:w="984" w:type="pct"/>
                  <w:noWrap/>
                  <w:vAlign w:val="center"/>
                </w:tcPr>
                <w:p>
                  <w:pPr>
                    <w:jc w:val="center"/>
                    <w:rPr>
                      <w:color w:val="auto"/>
                      <w:szCs w:val="21"/>
                    </w:rPr>
                  </w:pPr>
                  <w:r>
                    <w:rPr>
                      <w:rFonts w:hint="eastAsia"/>
                      <w:color w:val="auto"/>
                      <w:szCs w:val="21"/>
                    </w:rPr>
                    <w:t>0</w:t>
                  </w:r>
                </w:p>
              </w:tc>
              <w:tc>
                <w:tcPr>
                  <w:tcW w:w="765" w:type="pct"/>
                  <w:noWrap/>
                  <w:vAlign w:val="center"/>
                </w:tcPr>
                <w:p>
                  <w:pPr>
                    <w:jc w:val="center"/>
                    <w:rPr>
                      <w:color w:val="auto"/>
                      <w:szCs w:val="21"/>
                    </w:rPr>
                  </w:pPr>
                  <w:r>
                    <w:rPr>
                      <w:rFonts w:hint="eastAsia"/>
                      <w:color w:val="auto"/>
                      <w:szCs w:val="21"/>
                    </w:rPr>
                    <w:t>179.25</w:t>
                  </w:r>
                  <w:r>
                    <w:rPr>
                      <w:color w:val="auto"/>
                      <w:szCs w:val="21"/>
                    </w:rPr>
                    <w:t>m</w:t>
                  </w:r>
                  <w:r>
                    <w:rPr>
                      <w:color w:val="auto"/>
                      <w:szCs w:val="21"/>
                      <w:vertAlign w:val="superscript"/>
                    </w:rPr>
                    <w:t>2</w:t>
                  </w:r>
                </w:p>
              </w:tc>
              <w:tc>
                <w:tcPr>
                  <w:tcW w:w="898" w:type="pct"/>
                  <w:tcBorders>
                    <w:right w:val="single" w:color="auto" w:sz="4" w:space="0"/>
                  </w:tcBorders>
                  <w:noWrap/>
                  <w:vAlign w:val="center"/>
                </w:tcPr>
                <w:p>
                  <w:pPr>
                    <w:jc w:val="center"/>
                    <w:rPr>
                      <w:color w:val="auto"/>
                      <w:szCs w:val="21"/>
                    </w:rPr>
                  </w:pPr>
                  <w:r>
                    <w:rPr>
                      <w:rFonts w:hint="eastAsia"/>
                      <w:color w:val="auto"/>
                      <w:szCs w:val="21"/>
                    </w:rPr>
                    <w:t>+179.25</w:t>
                  </w:r>
                  <w:r>
                    <w:rPr>
                      <w:color w:val="auto"/>
                      <w:szCs w:val="21"/>
                    </w:rPr>
                    <w:t>m</w:t>
                  </w:r>
                  <w:r>
                    <w:rPr>
                      <w:color w:val="auto"/>
                      <w:szCs w:val="21"/>
                      <w:vertAlign w:val="superscript"/>
                    </w:rPr>
                    <w:t>2</w:t>
                  </w:r>
                </w:p>
              </w:tc>
              <w:tc>
                <w:tcPr>
                  <w:tcW w:w="900" w:type="pct"/>
                  <w:tcBorders>
                    <w:right w:val="single" w:color="auto" w:sz="4" w:space="0"/>
                  </w:tcBorders>
                  <w:noWrap/>
                  <w:vAlign w:val="center"/>
                </w:tcPr>
                <w:p>
                  <w:pPr>
                    <w:jc w:val="center"/>
                    <w:rPr>
                      <w:color w:val="auto"/>
                      <w:szCs w:val="21"/>
                    </w:rPr>
                  </w:pP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restart"/>
                  <w:tcBorders>
                    <w:left w:val="single" w:color="auto" w:sz="4" w:space="0"/>
                  </w:tcBorders>
                  <w:noWrap/>
                  <w:vAlign w:val="center"/>
                </w:tcPr>
                <w:p>
                  <w:pPr>
                    <w:jc w:val="center"/>
                    <w:rPr>
                      <w:color w:val="auto"/>
                      <w:szCs w:val="21"/>
                    </w:rPr>
                  </w:pPr>
                  <w:r>
                    <w:rPr>
                      <w:color w:val="auto"/>
                      <w:szCs w:val="21"/>
                    </w:rPr>
                    <w:t>公用</w:t>
                  </w:r>
                </w:p>
                <w:p>
                  <w:pPr>
                    <w:jc w:val="center"/>
                    <w:rPr>
                      <w:color w:val="auto"/>
                      <w:szCs w:val="21"/>
                    </w:rPr>
                  </w:pPr>
                  <w:r>
                    <w:rPr>
                      <w:color w:val="auto"/>
                      <w:szCs w:val="21"/>
                    </w:rPr>
                    <w:t>工程</w:t>
                  </w:r>
                </w:p>
              </w:tc>
              <w:tc>
                <w:tcPr>
                  <w:tcW w:w="1051" w:type="pct"/>
                  <w:gridSpan w:val="2"/>
                  <w:noWrap/>
                  <w:vAlign w:val="center"/>
                </w:tcPr>
                <w:p>
                  <w:pPr>
                    <w:jc w:val="center"/>
                    <w:rPr>
                      <w:color w:val="auto"/>
                      <w:szCs w:val="21"/>
                    </w:rPr>
                  </w:pPr>
                  <w:r>
                    <w:rPr>
                      <w:color w:val="auto"/>
                      <w:szCs w:val="21"/>
                    </w:rPr>
                    <w:t>给水</w:t>
                  </w:r>
                </w:p>
              </w:tc>
              <w:tc>
                <w:tcPr>
                  <w:tcW w:w="984" w:type="pct"/>
                  <w:noWrap/>
                  <w:vAlign w:val="center"/>
                </w:tcPr>
                <w:p>
                  <w:pPr>
                    <w:jc w:val="center"/>
                    <w:rPr>
                      <w:color w:val="auto"/>
                      <w:szCs w:val="21"/>
                    </w:rPr>
                  </w:pPr>
                  <w:r>
                    <w:rPr>
                      <w:rFonts w:hint="eastAsia"/>
                      <w:color w:val="auto"/>
                      <w:szCs w:val="21"/>
                    </w:rPr>
                    <w:t>201.6</w:t>
                  </w:r>
                  <w:r>
                    <w:rPr>
                      <w:color w:val="auto"/>
                      <w:szCs w:val="21"/>
                    </w:rPr>
                    <w:t>m</w:t>
                  </w:r>
                  <w:r>
                    <w:rPr>
                      <w:color w:val="auto"/>
                      <w:szCs w:val="21"/>
                      <w:vertAlign w:val="superscript"/>
                    </w:rPr>
                    <w:t>3</w:t>
                  </w:r>
                  <w:r>
                    <w:rPr>
                      <w:color w:val="auto"/>
                      <w:szCs w:val="21"/>
                    </w:rPr>
                    <w:t>/a</w:t>
                  </w:r>
                </w:p>
              </w:tc>
              <w:tc>
                <w:tcPr>
                  <w:tcW w:w="765" w:type="pct"/>
                  <w:noWrap/>
                  <w:vAlign w:val="center"/>
                </w:tcPr>
                <w:p>
                  <w:pPr>
                    <w:jc w:val="center"/>
                    <w:rPr>
                      <w:color w:val="auto"/>
                      <w:szCs w:val="21"/>
                    </w:rPr>
                  </w:pPr>
                  <w:r>
                    <w:rPr>
                      <w:rFonts w:hint="eastAsia"/>
                      <w:color w:val="auto"/>
                      <w:szCs w:val="21"/>
                    </w:rPr>
                    <w:t>201.6</w:t>
                  </w:r>
                  <w:r>
                    <w:rPr>
                      <w:color w:val="auto"/>
                      <w:szCs w:val="21"/>
                    </w:rPr>
                    <w:t>m</w:t>
                  </w:r>
                  <w:r>
                    <w:rPr>
                      <w:color w:val="auto"/>
                      <w:szCs w:val="21"/>
                      <w:vertAlign w:val="superscript"/>
                    </w:rPr>
                    <w:t>3</w:t>
                  </w:r>
                  <w:r>
                    <w:rPr>
                      <w:color w:val="auto"/>
                      <w:szCs w:val="21"/>
                    </w:rPr>
                    <w:t>/a</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color w:val="auto"/>
                      <w:szCs w:val="21"/>
                    </w:rPr>
                    <w:t>依托现有给水管网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1051" w:type="pct"/>
                  <w:gridSpan w:val="2"/>
                  <w:noWrap/>
                  <w:vAlign w:val="center"/>
                </w:tcPr>
                <w:p>
                  <w:pPr>
                    <w:jc w:val="center"/>
                    <w:rPr>
                      <w:color w:val="auto"/>
                      <w:szCs w:val="21"/>
                    </w:rPr>
                  </w:pPr>
                  <w:r>
                    <w:rPr>
                      <w:color w:val="auto"/>
                      <w:szCs w:val="21"/>
                    </w:rPr>
                    <w:t>排水</w:t>
                  </w:r>
                </w:p>
              </w:tc>
              <w:tc>
                <w:tcPr>
                  <w:tcW w:w="984" w:type="pct"/>
                  <w:noWrap/>
                  <w:vAlign w:val="center"/>
                </w:tcPr>
                <w:p>
                  <w:pPr>
                    <w:jc w:val="center"/>
                    <w:rPr>
                      <w:color w:val="auto"/>
                      <w:spacing w:val="-10"/>
                      <w:szCs w:val="21"/>
                    </w:rPr>
                  </w:pPr>
                  <w:r>
                    <w:rPr>
                      <w:rFonts w:hint="eastAsia"/>
                      <w:color w:val="auto"/>
                      <w:szCs w:val="21"/>
                    </w:rPr>
                    <w:t>161.28</w:t>
                  </w:r>
                  <w:r>
                    <w:rPr>
                      <w:color w:val="auto"/>
                      <w:szCs w:val="21"/>
                    </w:rPr>
                    <w:t>m</w:t>
                  </w:r>
                  <w:r>
                    <w:rPr>
                      <w:color w:val="auto"/>
                      <w:szCs w:val="21"/>
                      <w:vertAlign w:val="superscript"/>
                    </w:rPr>
                    <w:t>3</w:t>
                  </w:r>
                  <w:r>
                    <w:rPr>
                      <w:color w:val="auto"/>
                      <w:szCs w:val="21"/>
                    </w:rPr>
                    <w:t>/a</w:t>
                  </w:r>
                </w:p>
              </w:tc>
              <w:tc>
                <w:tcPr>
                  <w:tcW w:w="765" w:type="pct"/>
                  <w:noWrap/>
                  <w:vAlign w:val="center"/>
                </w:tcPr>
                <w:p>
                  <w:pPr>
                    <w:jc w:val="center"/>
                    <w:rPr>
                      <w:color w:val="auto"/>
                      <w:spacing w:val="-10"/>
                      <w:szCs w:val="21"/>
                    </w:rPr>
                  </w:pPr>
                  <w:r>
                    <w:rPr>
                      <w:rFonts w:hint="eastAsia"/>
                      <w:color w:val="auto"/>
                      <w:szCs w:val="21"/>
                    </w:rPr>
                    <w:t>161.28</w:t>
                  </w:r>
                  <w:r>
                    <w:rPr>
                      <w:color w:val="auto"/>
                      <w:szCs w:val="21"/>
                    </w:rPr>
                    <w:t>m</w:t>
                  </w:r>
                  <w:r>
                    <w:rPr>
                      <w:color w:val="auto"/>
                      <w:szCs w:val="21"/>
                      <w:vertAlign w:val="superscript"/>
                    </w:rPr>
                    <w:t>3</w:t>
                  </w:r>
                  <w:r>
                    <w:rPr>
                      <w:color w:val="auto"/>
                      <w:szCs w:val="21"/>
                    </w:rPr>
                    <w:t>/a</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color w:val="auto"/>
                      <w:szCs w:val="21"/>
                    </w:rPr>
                    <w:t>接管常熟</w:t>
                  </w:r>
                  <w:r>
                    <w:rPr>
                      <w:rFonts w:hint="eastAsia"/>
                      <w:color w:val="auto"/>
                      <w:szCs w:val="21"/>
                    </w:rPr>
                    <w:t>城东净水</w:t>
                  </w:r>
                  <w:r>
                    <w:rPr>
                      <w:color w:val="auto"/>
                      <w:szCs w:val="21"/>
                    </w:rPr>
                    <w:t>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1051" w:type="pct"/>
                  <w:gridSpan w:val="2"/>
                  <w:noWrap/>
                  <w:vAlign w:val="center"/>
                </w:tcPr>
                <w:p>
                  <w:pPr>
                    <w:jc w:val="center"/>
                    <w:rPr>
                      <w:color w:val="auto"/>
                      <w:szCs w:val="21"/>
                    </w:rPr>
                  </w:pPr>
                  <w:r>
                    <w:rPr>
                      <w:color w:val="auto"/>
                      <w:szCs w:val="21"/>
                    </w:rPr>
                    <w:t>供电</w:t>
                  </w:r>
                </w:p>
              </w:tc>
              <w:tc>
                <w:tcPr>
                  <w:tcW w:w="984" w:type="pct"/>
                  <w:noWrap/>
                  <w:vAlign w:val="center"/>
                </w:tcPr>
                <w:p>
                  <w:pPr>
                    <w:jc w:val="center"/>
                    <w:rPr>
                      <w:color w:val="auto"/>
                      <w:szCs w:val="21"/>
                    </w:rPr>
                  </w:pPr>
                  <w:r>
                    <w:rPr>
                      <w:rFonts w:hint="eastAsia"/>
                      <w:color w:val="auto"/>
                      <w:szCs w:val="21"/>
                    </w:rPr>
                    <w:t>100</w:t>
                  </w:r>
                  <w:r>
                    <w:rPr>
                      <w:color w:val="auto"/>
                      <w:szCs w:val="21"/>
                    </w:rPr>
                    <w:t>万</w:t>
                  </w:r>
                </w:p>
              </w:tc>
              <w:tc>
                <w:tcPr>
                  <w:tcW w:w="765" w:type="pct"/>
                  <w:noWrap/>
                  <w:vAlign w:val="center"/>
                </w:tcPr>
                <w:p>
                  <w:pPr>
                    <w:jc w:val="center"/>
                    <w:rPr>
                      <w:color w:val="auto"/>
                      <w:szCs w:val="21"/>
                    </w:rPr>
                  </w:pPr>
                  <w:r>
                    <w:rPr>
                      <w:rFonts w:hint="eastAsia"/>
                      <w:color w:val="auto"/>
                      <w:szCs w:val="21"/>
                    </w:rPr>
                    <w:t>100.2</w:t>
                  </w:r>
                  <w:r>
                    <w:rPr>
                      <w:color w:val="auto"/>
                      <w:szCs w:val="21"/>
                    </w:rPr>
                    <w:t>万</w:t>
                  </w:r>
                </w:p>
              </w:tc>
              <w:tc>
                <w:tcPr>
                  <w:tcW w:w="898" w:type="pct"/>
                  <w:tcBorders>
                    <w:right w:val="single" w:color="auto" w:sz="4" w:space="0"/>
                  </w:tcBorders>
                  <w:noWrap/>
                  <w:vAlign w:val="center"/>
                </w:tcPr>
                <w:p>
                  <w:pPr>
                    <w:jc w:val="center"/>
                    <w:rPr>
                      <w:color w:val="auto"/>
                      <w:szCs w:val="21"/>
                    </w:rPr>
                  </w:pPr>
                  <w:r>
                    <w:rPr>
                      <w:rFonts w:hint="eastAsia"/>
                      <w:color w:val="auto"/>
                      <w:szCs w:val="21"/>
                    </w:rPr>
                    <w:t>+0.2万</w:t>
                  </w:r>
                </w:p>
              </w:tc>
              <w:tc>
                <w:tcPr>
                  <w:tcW w:w="900" w:type="pct"/>
                  <w:tcBorders>
                    <w:right w:val="single" w:color="auto" w:sz="4" w:space="0"/>
                  </w:tcBorders>
                  <w:noWrap/>
                  <w:vAlign w:val="center"/>
                </w:tcPr>
                <w:p>
                  <w:pPr>
                    <w:jc w:val="center"/>
                    <w:rPr>
                      <w:color w:val="auto"/>
                      <w:szCs w:val="21"/>
                    </w:rPr>
                  </w:pPr>
                  <w:r>
                    <w:rPr>
                      <w:color w:val="auto"/>
                      <w:szCs w:val="21"/>
                    </w:rPr>
                    <w:t>当地供电管网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424" w:type="pct"/>
                  <w:noWrap/>
                  <w:vAlign w:val="center"/>
                </w:tcPr>
                <w:p>
                  <w:pPr>
                    <w:jc w:val="center"/>
                    <w:rPr>
                      <w:color w:val="auto"/>
                      <w:szCs w:val="21"/>
                    </w:rPr>
                  </w:pPr>
                  <w:r>
                    <w:rPr>
                      <w:color w:val="auto"/>
                      <w:szCs w:val="21"/>
                    </w:rPr>
                    <w:t>废水处理</w:t>
                  </w:r>
                </w:p>
              </w:tc>
              <w:tc>
                <w:tcPr>
                  <w:tcW w:w="626" w:type="pct"/>
                  <w:noWrap/>
                  <w:vAlign w:val="center"/>
                </w:tcPr>
                <w:p>
                  <w:pPr>
                    <w:jc w:val="center"/>
                    <w:rPr>
                      <w:color w:val="auto"/>
                      <w:szCs w:val="21"/>
                    </w:rPr>
                  </w:pPr>
                  <w:r>
                    <w:rPr>
                      <w:color w:val="auto"/>
                      <w:szCs w:val="21"/>
                    </w:rPr>
                    <w:t>生活污水</w:t>
                  </w:r>
                </w:p>
              </w:tc>
              <w:tc>
                <w:tcPr>
                  <w:tcW w:w="984" w:type="pct"/>
                  <w:noWrap/>
                  <w:vAlign w:val="center"/>
                </w:tcPr>
                <w:p>
                  <w:pPr>
                    <w:jc w:val="center"/>
                    <w:rPr>
                      <w:color w:val="auto"/>
                      <w:spacing w:val="-10"/>
                      <w:szCs w:val="21"/>
                    </w:rPr>
                  </w:pPr>
                  <w:r>
                    <w:rPr>
                      <w:rFonts w:hint="eastAsia"/>
                      <w:color w:val="auto"/>
                      <w:szCs w:val="21"/>
                    </w:rPr>
                    <w:t>161.28t</w:t>
                  </w:r>
                  <w:r>
                    <w:rPr>
                      <w:color w:val="auto"/>
                      <w:szCs w:val="21"/>
                    </w:rPr>
                    <w:t>/a</w:t>
                  </w:r>
                </w:p>
              </w:tc>
              <w:tc>
                <w:tcPr>
                  <w:tcW w:w="765" w:type="pct"/>
                  <w:noWrap/>
                  <w:vAlign w:val="center"/>
                </w:tcPr>
                <w:p>
                  <w:pPr>
                    <w:jc w:val="center"/>
                    <w:rPr>
                      <w:color w:val="auto"/>
                      <w:spacing w:val="-10"/>
                      <w:szCs w:val="21"/>
                    </w:rPr>
                  </w:pPr>
                  <w:r>
                    <w:rPr>
                      <w:rFonts w:hint="eastAsia"/>
                      <w:color w:val="auto"/>
                      <w:szCs w:val="21"/>
                    </w:rPr>
                    <w:t>161.28t</w:t>
                  </w:r>
                  <w:r>
                    <w:rPr>
                      <w:color w:val="auto"/>
                      <w:szCs w:val="21"/>
                    </w:rPr>
                    <w:t>/a</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rFonts w:hint="eastAsia"/>
                      <w:color w:val="auto"/>
                      <w:szCs w:val="21"/>
                    </w:rPr>
                    <w:t>生活污水一起接管</w:t>
                  </w:r>
                  <w:r>
                    <w:rPr>
                      <w:color w:val="auto"/>
                      <w:szCs w:val="21"/>
                    </w:rPr>
                    <w:t>常熟</w:t>
                  </w:r>
                  <w:r>
                    <w:rPr>
                      <w:rFonts w:hint="eastAsia"/>
                      <w:color w:val="auto"/>
                      <w:szCs w:val="21"/>
                    </w:rPr>
                    <w:t>城东净水</w:t>
                  </w:r>
                  <w:r>
                    <w:rPr>
                      <w:color w:val="auto"/>
                      <w:szCs w:val="21"/>
                    </w:rPr>
                    <w:t>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424" w:type="pct"/>
                  <w:noWrap/>
                  <w:vAlign w:val="center"/>
                </w:tcPr>
                <w:p>
                  <w:pPr>
                    <w:jc w:val="center"/>
                    <w:rPr>
                      <w:color w:val="auto"/>
                      <w:szCs w:val="21"/>
                    </w:rPr>
                  </w:pPr>
                  <w:r>
                    <w:rPr>
                      <w:color w:val="auto"/>
                      <w:szCs w:val="21"/>
                    </w:rPr>
                    <w:t>噪</w:t>
                  </w:r>
                  <w:r>
                    <w:rPr>
                      <w:rFonts w:hint="eastAsia"/>
                      <w:color w:val="auto"/>
                      <w:szCs w:val="21"/>
                    </w:rPr>
                    <w:t>声</w:t>
                  </w:r>
                  <w:r>
                    <w:rPr>
                      <w:color w:val="auto"/>
                      <w:szCs w:val="21"/>
                    </w:rPr>
                    <w:t>处理</w:t>
                  </w:r>
                </w:p>
              </w:tc>
              <w:tc>
                <w:tcPr>
                  <w:tcW w:w="626" w:type="pct"/>
                  <w:noWrap/>
                  <w:vAlign w:val="center"/>
                </w:tcPr>
                <w:p>
                  <w:pPr>
                    <w:jc w:val="center"/>
                    <w:rPr>
                      <w:color w:val="auto"/>
                      <w:szCs w:val="21"/>
                    </w:rPr>
                  </w:pPr>
                  <w:r>
                    <w:rPr>
                      <w:color w:val="auto"/>
                      <w:szCs w:val="21"/>
                    </w:rPr>
                    <w:t>隔声罩、消声器、</w:t>
                  </w:r>
                </w:p>
                <w:p>
                  <w:pPr>
                    <w:jc w:val="center"/>
                    <w:rPr>
                      <w:color w:val="auto"/>
                      <w:szCs w:val="21"/>
                    </w:rPr>
                  </w:pPr>
                  <w:r>
                    <w:rPr>
                      <w:color w:val="auto"/>
                      <w:szCs w:val="21"/>
                    </w:rPr>
                    <w:t>减振</w:t>
                  </w:r>
                </w:p>
              </w:tc>
              <w:tc>
                <w:tcPr>
                  <w:tcW w:w="984" w:type="pct"/>
                  <w:noWrap/>
                  <w:vAlign w:val="center"/>
                </w:tcPr>
                <w:p>
                  <w:pPr>
                    <w:jc w:val="center"/>
                    <w:rPr>
                      <w:color w:val="auto"/>
                      <w:szCs w:val="21"/>
                    </w:rPr>
                  </w:pPr>
                  <w:r>
                    <w:rPr>
                      <w:color w:val="auto"/>
                      <w:szCs w:val="21"/>
                    </w:rPr>
                    <w:t>—</w:t>
                  </w:r>
                </w:p>
              </w:tc>
              <w:tc>
                <w:tcPr>
                  <w:tcW w:w="765" w:type="pct"/>
                  <w:noWrap/>
                  <w:vAlign w:val="center"/>
                </w:tcPr>
                <w:p>
                  <w:pPr>
                    <w:jc w:val="center"/>
                    <w:rPr>
                      <w:color w:val="auto"/>
                      <w:szCs w:val="21"/>
                    </w:rPr>
                  </w:pPr>
                  <w:r>
                    <w:rPr>
                      <w:color w:val="auto"/>
                      <w:szCs w:val="21"/>
                    </w:rPr>
                    <w:t>—</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color w:val="auto"/>
                      <w:szCs w:val="21"/>
                    </w:rPr>
                    <w:t>达标排放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424" w:type="pct"/>
                  <w:vMerge w:val="restart"/>
                  <w:noWrap/>
                  <w:vAlign w:val="center"/>
                </w:tcPr>
                <w:p>
                  <w:pPr>
                    <w:jc w:val="center"/>
                    <w:rPr>
                      <w:color w:val="auto"/>
                      <w:szCs w:val="21"/>
                    </w:rPr>
                  </w:pPr>
                  <w:r>
                    <w:rPr>
                      <w:rFonts w:hint="eastAsia"/>
                      <w:color w:val="auto"/>
                      <w:szCs w:val="21"/>
                    </w:rPr>
                    <w:t>固废储存</w:t>
                  </w:r>
                </w:p>
              </w:tc>
              <w:tc>
                <w:tcPr>
                  <w:tcW w:w="626" w:type="pct"/>
                  <w:noWrap/>
                  <w:vAlign w:val="center"/>
                </w:tcPr>
                <w:p>
                  <w:pPr>
                    <w:jc w:val="center"/>
                    <w:rPr>
                      <w:color w:val="auto"/>
                      <w:szCs w:val="21"/>
                    </w:rPr>
                  </w:pPr>
                  <w:r>
                    <w:rPr>
                      <w:color w:val="auto"/>
                      <w:szCs w:val="21"/>
                    </w:rPr>
                    <w:t>危废</w:t>
                  </w:r>
                  <w:r>
                    <w:rPr>
                      <w:rFonts w:hint="eastAsia"/>
                      <w:color w:val="auto"/>
                      <w:szCs w:val="21"/>
                    </w:rPr>
                    <w:t>仓库</w:t>
                  </w:r>
                </w:p>
              </w:tc>
              <w:tc>
                <w:tcPr>
                  <w:tcW w:w="984" w:type="pct"/>
                  <w:noWrap/>
                  <w:vAlign w:val="center"/>
                </w:tcPr>
                <w:p>
                  <w:pPr>
                    <w:jc w:val="center"/>
                    <w:rPr>
                      <w:color w:val="auto"/>
                      <w:szCs w:val="21"/>
                    </w:rPr>
                  </w:pPr>
                  <w:r>
                    <w:rPr>
                      <w:rFonts w:hint="eastAsia"/>
                      <w:color w:val="auto"/>
                      <w:szCs w:val="21"/>
                    </w:rPr>
                    <w:t>30</w:t>
                  </w:r>
                  <w:r>
                    <w:rPr>
                      <w:color w:val="auto"/>
                      <w:szCs w:val="21"/>
                    </w:rPr>
                    <w:t>m</w:t>
                  </w:r>
                  <w:r>
                    <w:rPr>
                      <w:color w:val="auto"/>
                      <w:szCs w:val="21"/>
                      <w:vertAlign w:val="superscript"/>
                    </w:rPr>
                    <w:t>2</w:t>
                  </w:r>
                </w:p>
              </w:tc>
              <w:tc>
                <w:tcPr>
                  <w:tcW w:w="765" w:type="pct"/>
                  <w:noWrap/>
                  <w:vAlign w:val="center"/>
                </w:tcPr>
                <w:p>
                  <w:pPr>
                    <w:jc w:val="center"/>
                    <w:rPr>
                      <w:color w:val="auto"/>
                      <w:szCs w:val="21"/>
                    </w:rPr>
                  </w:pPr>
                  <w:r>
                    <w:rPr>
                      <w:rFonts w:hint="eastAsia"/>
                      <w:color w:val="auto"/>
                      <w:szCs w:val="21"/>
                    </w:rPr>
                    <w:t>30</w:t>
                  </w:r>
                  <w:r>
                    <w:rPr>
                      <w:color w:val="auto"/>
                      <w:szCs w:val="21"/>
                    </w:rPr>
                    <w:t>m</w:t>
                  </w:r>
                  <w:r>
                    <w:rPr>
                      <w:color w:val="auto"/>
                      <w:szCs w:val="21"/>
                      <w:vertAlign w:val="superscript"/>
                    </w:rPr>
                    <w:t>2</w:t>
                  </w:r>
                </w:p>
              </w:tc>
              <w:tc>
                <w:tcPr>
                  <w:tcW w:w="898" w:type="pct"/>
                  <w:tcBorders>
                    <w:right w:val="single" w:color="auto" w:sz="4" w:space="0"/>
                  </w:tcBorders>
                  <w:noWrap/>
                  <w:vAlign w:val="center"/>
                </w:tcPr>
                <w:p>
                  <w:pPr>
                    <w:jc w:val="center"/>
                    <w:rPr>
                      <w:color w:val="auto"/>
                      <w:szCs w:val="21"/>
                    </w:rPr>
                  </w:pPr>
                  <w:r>
                    <w:rPr>
                      <w:rFonts w:hint="eastAsia"/>
                      <w:color w:val="auto"/>
                      <w:szCs w:val="21"/>
                    </w:rPr>
                    <w:t>/</w:t>
                  </w:r>
                </w:p>
              </w:tc>
              <w:tc>
                <w:tcPr>
                  <w:tcW w:w="900" w:type="pct"/>
                  <w:tcBorders>
                    <w:right w:val="single" w:color="auto" w:sz="4" w:space="0"/>
                  </w:tcBorders>
                  <w:noWrap/>
                  <w:vAlign w:val="center"/>
                </w:tcPr>
                <w:p>
                  <w:pPr>
                    <w:jc w:val="center"/>
                    <w:rPr>
                      <w:color w:val="auto"/>
                      <w:szCs w:val="21"/>
                    </w:rPr>
                  </w:pP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tcBorders>
                  <w:noWrap/>
                  <w:vAlign w:val="center"/>
                </w:tcPr>
                <w:p>
                  <w:pPr>
                    <w:jc w:val="center"/>
                    <w:rPr>
                      <w:color w:val="auto"/>
                      <w:szCs w:val="21"/>
                    </w:rPr>
                  </w:pPr>
                </w:p>
              </w:tc>
              <w:tc>
                <w:tcPr>
                  <w:tcW w:w="424" w:type="pct"/>
                  <w:vMerge w:val="continue"/>
                  <w:noWrap/>
                  <w:vAlign w:val="center"/>
                </w:tcPr>
                <w:p>
                  <w:pPr>
                    <w:jc w:val="center"/>
                    <w:rPr>
                      <w:rFonts w:hint="eastAsia"/>
                      <w:color w:val="auto"/>
                      <w:szCs w:val="21"/>
                    </w:rPr>
                  </w:pPr>
                </w:p>
              </w:tc>
              <w:tc>
                <w:tcPr>
                  <w:tcW w:w="626" w:type="pct"/>
                  <w:noWrap/>
                  <w:vAlign w:val="center"/>
                </w:tcPr>
                <w:p>
                  <w:pPr>
                    <w:jc w:val="center"/>
                    <w:rPr>
                      <w:rFonts w:hint="eastAsia" w:eastAsia="宋体"/>
                      <w:color w:val="auto"/>
                      <w:szCs w:val="21"/>
                      <w:lang w:eastAsia="zh-CN"/>
                    </w:rPr>
                  </w:pPr>
                  <w:r>
                    <w:rPr>
                      <w:rFonts w:hint="eastAsia"/>
                      <w:color w:val="auto"/>
                      <w:szCs w:val="21"/>
                      <w:lang w:eastAsia="zh-CN"/>
                    </w:rPr>
                    <w:t>一般固废仓库</w:t>
                  </w:r>
                </w:p>
              </w:tc>
              <w:tc>
                <w:tcPr>
                  <w:tcW w:w="984" w:type="pct"/>
                  <w:noWrap/>
                  <w:vAlign w:val="center"/>
                </w:tcPr>
                <w:p>
                  <w:pPr>
                    <w:jc w:val="center"/>
                    <w:rPr>
                      <w:rFonts w:hint="default" w:eastAsia="宋体"/>
                      <w:color w:val="auto"/>
                      <w:szCs w:val="21"/>
                      <w:lang w:val="en-US" w:eastAsia="zh-CN"/>
                    </w:rPr>
                  </w:pPr>
                  <w:r>
                    <w:rPr>
                      <w:rFonts w:hint="eastAsia"/>
                      <w:color w:val="auto"/>
                      <w:szCs w:val="21"/>
                      <w:lang w:val="en-US" w:eastAsia="zh-CN"/>
                    </w:rPr>
                    <w:t>30</w:t>
                  </w:r>
                  <w:r>
                    <w:rPr>
                      <w:color w:val="auto"/>
                      <w:szCs w:val="21"/>
                    </w:rPr>
                    <w:t>m</w:t>
                  </w:r>
                  <w:r>
                    <w:rPr>
                      <w:color w:val="auto"/>
                      <w:szCs w:val="21"/>
                      <w:vertAlign w:val="superscript"/>
                    </w:rPr>
                    <w:t>2</w:t>
                  </w:r>
                </w:p>
              </w:tc>
              <w:tc>
                <w:tcPr>
                  <w:tcW w:w="765" w:type="pct"/>
                  <w:noWrap/>
                  <w:vAlign w:val="center"/>
                </w:tcPr>
                <w:p>
                  <w:pPr>
                    <w:jc w:val="center"/>
                    <w:rPr>
                      <w:rFonts w:hint="eastAsia"/>
                      <w:color w:val="auto"/>
                      <w:szCs w:val="21"/>
                    </w:rPr>
                  </w:pPr>
                  <w:r>
                    <w:rPr>
                      <w:rFonts w:hint="eastAsia"/>
                      <w:color w:val="auto"/>
                      <w:szCs w:val="21"/>
                      <w:lang w:val="en-US" w:eastAsia="zh-CN"/>
                    </w:rPr>
                    <w:t>30</w:t>
                  </w:r>
                  <w:r>
                    <w:rPr>
                      <w:color w:val="auto"/>
                      <w:szCs w:val="21"/>
                    </w:rPr>
                    <w:t>m</w:t>
                  </w:r>
                  <w:r>
                    <w:rPr>
                      <w:color w:val="auto"/>
                      <w:szCs w:val="21"/>
                      <w:vertAlign w:val="superscript"/>
                    </w:rPr>
                    <w:t>2</w:t>
                  </w:r>
                </w:p>
              </w:tc>
              <w:tc>
                <w:tcPr>
                  <w:tcW w:w="898" w:type="pct"/>
                  <w:tcBorders>
                    <w:right w:val="single" w:color="auto" w:sz="4" w:space="0"/>
                  </w:tcBorders>
                  <w:noWrap/>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900" w:type="pct"/>
                  <w:tcBorders>
                    <w:right w:val="single" w:color="auto" w:sz="4" w:space="0"/>
                  </w:tcBorders>
                  <w:noWrap/>
                  <w:vAlign w:val="center"/>
                </w:tcPr>
                <w:p>
                  <w:pPr>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0" w:type="pct"/>
                  <w:vMerge w:val="continue"/>
                  <w:tcBorders>
                    <w:left w:val="single" w:color="auto" w:sz="4" w:space="0"/>
                    <w:bottom w:val="single" w:color="auto" w:sz="4" w:space="0"/>
                  </w:tcBorders>
                  <w:noWrap/>
                  <w:vAlign w:val="center"/>
                </w:tcPr>
                <w:p>
                  <w:pPr>
                    <w:jc w:val="center"/>
                    <w:rPr>
                      <w:color w:val="auto"/>
                      <w:szCs w:val="21"/>
                    </w:rPr>
                  </w:pPr>
                </w:p>
              </w:tc>
              <w:tc>
                <w:tcPr>
                  <w:tcW w:w="1051" w:type="pct"/>
                  <w:gridSpan w:val="2"/>
                  <w:tcBorders>
                    <w:bottom w:val="single" w:color="auto" w:sz="4" w:space="0"/>
                  </w:tcBorders>
                  <w:noWrap/>
                  <w:vAlign w:val="center"/>
                </w:tcPr>
                <w:p>
                  <w:pPr>
                    <w:jc w:val="center"/>
                    <w:rPr>
                      <w:color w:val="auto"/>
                      <w:szCs w:val="21"/>
                    </w:rPr>
                  </w:pPr>
                  <w:r>
                    <w:rPr>
                      <w:rFonts w:hint="eastAsia"/>
                      <w:color w:val="auto"/>
                      <w:szCs w:val="21"/>
                    </w:rPr>
                    <w:t>事故应急池</w:t>
                  </w:r>
                </w:p>
              </w:tc>
              <w:tc>
                <w:tcPr>
                  <w:tcW w:w="984" w:type="pct"/>
                  <w:tcBorders>
                    <w:bottom w:val="single" w:color="auto" w:sz="4" w:space="0"/>
                  </w:tcBorders>
                  <w:noWrap/>
                  <w:vAlign w:val="center"/>
                </w:tcPr>
                <w:p>
                  <w:pPr>
                    <w:jc w:val="center"/>
                    <w:rPr>
                      <w:color w:val="auto"/>
                      <w:szCs w:val="21"/>
                    </w:rPr>
                  </w:pPr>
                  <w:r>
                    <w:rPr>
                      <w:rFonts w:hint="eastAsia"/>
                      <w:color w:val="auto"/>
                      <w:szCs w:val="21"/>
                    </w:rPr>
                    <w:t>0</w:t>
                  </w:r>
                </w:p>
              </w:tc>
              <w:tc>
                <w:tcPr>
                  <w:tcW w:w="765" w:type="pct"/>
                  <w:tcBorders>
                    <w:bottom w:val="single" w:color="auto" w:sz="4" w:space="0"/>
                  </w:tcBorders>
                  <w:noWrap/>
                  <w:vAlign w:val="center"/>
                </w:tcPr>
                <w:p>
                  <w:pPr>
                    <w:jc w:val="center"/>
                    <w:rPr>
                      <w:color w:val="auto"/>
                      <w:szCs w:val="21"/>
                    </w:rPr>
                  </w:pPr>
                  <w:r>
                    <w:rPr>
                      <w:rFonts w:hint="eastAsia"/>
                      <w:color w:val="auto"/>
                      <w:szCs w:val="21"/>
                    </w:rPr>
                    <w:t>0</w:t>
                  </w:r>
                </w:p>
              </w:tc>
              <w:tc>
                <w:tcPr>
                  <w:tcW w:w="898" w:type="pct"/>
                  <w:tcBorders>
                    <w:bottom w:val="single" w:color="auto" w:sz="4" w:space="0"/>
                    <w:right w:val="single" w:color="auto" w:sz="4" w:space="0"/>
                  </w:tcBorders>
                  <w:noWrap/>
                  <w:vAlign w:val="center"/>
                </w:tcPr>
                <w:p>
                  <w:pPr>
                    <w:jc w:val="center"/>
                    <w:rPr>
                      <w:color w:val="auto"/>
                      <w:szCs w:val="21"/>
                    </w:rPr>
                  </w:pPr>
                  <w:r>
                    <w:rPr>
                      <w:rFonts w:hint="eastAsia"/>
                      <w:color w:val="auto"/>
                      <w:szCs w:val="21"/>
                    </w:rPr>
                    <w:t>0</w:t>
                  </w:r>
                </w:p>
              </w:tc>
              <w:tc>
                <w:tcPr>
                  <w:tcW w:w="900" w:type="pct"/>
                  <w:tcBorders>
                    <w:bottom w:val="single" w:color="auto" w:sz="4" w:space="0"/>
                    <w:right w:val="single" w:color="auto" w:sz="4" w:space="0"/>
                  </w:tcBorders>
                  <w:noWrap/>
                  <w:vAlign w:val="center"/>
                </w:tcPr>
                <w:p>
                  <w:pPr>
                    <w:jc w:val="center"/>
                    <w:rPr>
                      <w:color w:val="auto"/>
                      <w:szCs w:val="21"/>
                    </w:rPr>
                  </w:pPr>
                  <w:r>
                    <w:rPr>
                      <w:color w:val="auto"/>
                      <w:szCs w:val="21"/>
                    </w:rPr>
                    <w:t>雨水口</w:t>
                  </w:r>
                  <w:r>
                    <w:rPr>
                      <w:rFonts w:hint="eastAsia"/>
                      <w:color w:val="auto"/>
                      <w:szCs w:val="21"/>
                    </w:rPr>
                    <w:t>1个，</w:t>
                  </w:r>
                  <w:r>
                    <w:rPr>
                      <w:color w:val="auto"/>
                      <w:szCs w:val="21"/>
                    </w:rPr>
                    <w:t>配套设置切断阀截留装置</w:t>
                  </w:r>
                </w:p>
              </w:tc>
            </w:tr>
          </w:tbl>
          <w:p>
            <w:pPr>
              <w:jc w:val="center"/>
              <w:rPr>
                <w:b/>
                <w:bCs/>
                <w:color w:val="auto"/>
                <w:szCs w:val="21"/>
              </w:rPr>
            </w:pPr>
            <w:r>
              <w:rPr>
                <w:b/>
                <w:bCs/>
                <w:color w:val="auto"/>
                <w:szCs w:val="21"/>
              </w:rPr>
              <w:t>表2-</w:t>
            </w:r>
            <w:r>
              <w:rPr>
                <w:rFonts w:hint="eastAsia"/>
                <w:b/>
                <w:bCs/>
                <w:color w:val="auto"/>
                <w:szCs w:val="21"/>
              </w:rPr>
              <w:t>3</w:t>
            </w:r>
            <w:r>
              <w:rPr>
                <w:b/>
                <w:bCs/>
                <w:color w:val="auto"/>
                <w:szCs w:val="21"/>
              </w:rPr>
              <w:t>主要原辅料消耗表</w:t>
            </w:r>
          </w:p>
          <w:tbl>
            <w:tblPr>
              <w:tblStyle w:val="20"/>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069"/>
              <w:gridCol w:w="1137"/>
              <w:gridCol w:w="1002"/>
              <w:gridCol w:w="985"/>
              <w:gridCol w:w="1002"/>
              <w:gridCol w:w="987"/>
              <w:gridCol w:w="853"/>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1" w:type="dxa"/>
                  <w:vMerge w:val="restart"/>
                  <w:vAlign w:val="center"/>
                </w:tcPr>
                <w:p>
                  <w:pPr>
                    <w:adjustRightInd w:val="0"/>
                    <w:snapToGrid w:val="0"/>
                    <w:jc w:val="center"/>
                    <w:rPr>
                      <w:color w:val="auto"/>
                    </w:rPr>
                  </w:pPr>
                  <w:r>
                    <w:rPr>
                      <w:color w:val="auto"/>
                      <w:szCs w:val="21"/>
                    </w:rPr>
                    <w:t>序号</w:t>
                  </w:r>
                </w:p>
              </w:tc>
              <w:tc>
                <w:tcPr>
                  <w:tcW w:w="1069" w:type="dxa"/>
                  <w:vMerge w:val="restart"/>
                  <w:vAlign w:val="center"/>
                </w:tcPr>
                <w:p>
                  <w:pPr>
                    <w:adjustRightInd w:val="0"/>
                    <w:snapToGrid w:val="0"/>
                    <w:jc w:val="center"/>
                    <w:rPr>
                      <w:color w:val="auto"/>
                    </w:rPr>
                  </w:pPr>
                  <w:r>
                    <w:rPr>
                      <w:color w:val="auto"/>
                      <w:szCs w:val="21"/>
                    </w:rPr>
                    <w:t>物料名称</w:t>
                  </w:r>
                </w:p>
              </w:tc>
              <w:tc>
                <w:tcPr>
                  <w:tcW w:w="1137" w:type="dxa"/>
                  <w:vMerge w:val="restart"/>
                  <w:vAlign w:val="center"/>
                </w:tcPr>
                <w:p>
                  <w:pPr>
                    <w:adjustRightInd w:val="0"/>
                    <w:snapToGrid w:val="0"/>
                    <w:jc w:val="center"/>
                    <w:rPr>
                      <w:color w:val="auto"/>
                    </w:rPr>
                  </w:pPr>
                  <w:r>
                    <w:rPr>
                      <w:color w:val="auto"/>
                      <w:szCs w:val="21"/>
                    </w:rPr>
                    <w:t>组分/规格</w:t>
                  </w:r>
                </w:p>
              </w:tc>
              <w:tc>
                <w:tcPr>
                  <w:tcW w:w="3976" w:type="dxa"/>
                  <w:gridSpan w:val="4"/>
                  <w:vAlign w:val="center"/>
                </w:tcPr>
                <w:p>
                  <w:pPr>
                    <w:adjustRightInd w:val="0"/>
                    <w:snapToGrid w:val="0"/>
                    <w:jc w:val="center"/>
                    <w:rPr>
                      <w:color w:val="auto"/>
                    </w:rPr>
                  </w:pPr>
                  <w:r>
                    <w:rPr>
                      <w:color w:val="auto"/>
                      <w:szCs w:val="21"/>
                    </w:rPr>
                    <w:t>消耗量</w:t>
                  </w:r>
                </w:p>
              </w:tc>
              <w:tc>
                <w:tcPr>
                  <w:tcW w:w="853" w:type="dxa"/>
                  <w:vMerge w:val="restart"/>
                  <w:vAlign w:val="center"/>
                </w:tcPr>
                <w:p>
                  <w:pPr>
                    <w:adjustRightInd w:val="0"/>
                    <w:snapToGrid w:val="0"/>
                    <w:jc w:val="center"/>
                    <w:rPr>
                      <w:color w:val="auto"/>
                    </w:rPr>
                  </w:pPr>
                  <w:r>
                    <w:rPr>
                      <w:color w:val="auto"/>
                      <w:szCs w:val="21"/>
                    </w:rPr>
                    <w:t>最大储存量</w:t>
                  </w:r>
                </w:p>
              </w:tc>
              <w:tc>
                <w:tcPr>
                  <w:tcW w:w="690" w:type="dxa"/>
                  <w:vMerge w:val="restart"/>
                  <w:vAlign w:val="center"/>
                </w:tcPr>
                <w:p>
                  <w:pPr>
                    <w:adjustRightInd w:val="0"/>
                    <w:snapToGrid w:val="0"/>
                    <w:jc w:val="center"/>
                    <w:rPr>
                      <w:color w:val="auto"/>
                      <w:szCs w:val="21"/>
                    </w:rPr>
                  </w:pPr>
                  <w:r>
                    <w:rPr>
                      <w:rFonts w:hint="eastAsia"/>
                      <w:color w:val="auto"/>
                      <w:szCs w:val="21"/>
                    </w:rPr>
                    <w:t>贮存点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1" w:type="dxa"/>
                  <w:vMerge w:val="continue"/>
                  <w:vAlign w:val="center"/>
                </w:tcPr>
                <w:p>
                  <w:pPr>
                    <w:adjustRightInd w:val="0"/>
                    <w:snapToGrid w:val="0"/>
                    <w:jc w:val="center"/>
                    <w:rPr>
                      <w:color w:val="auto"/>
                    </w:rPr>
                  </w:pPr>
                </w:p>
              </w:tc>
              <w:tc>
                <w:tcPr>
                  <w:tcW w:w="1069" w:type="dxa"/>
                  <w:vMerge w:val="continue"/>
                  <w:vAlign w:val="center"/>
                </w:tcPr>
                <w:p>
                  <w:pPr>
                    <w:adjustRightInd w:val="0"/>
                    <w:snapToGrid w:val="0"/>
                    <w:jc w:val="center"/>
                    <w:rPr>
                      <w:color w:val="auto"/>
                    </w:rPr>
                  </w:pPr>
                </w:p>
              </w:tc>
              <w:tc>
                <w:tcPr>
                  <w:tcW w:w="1137" w:type="dxa"/>
                  <w:vMerge w:val="continue"/>
                  <w:vAlign w:val="center"/>
                </w:tcPr>
                <w:p>
                  <w:pPr>
                    <w:adjustRightInd w:val="0"/>
                    <w:snapToGrid w:val="0"/>
                    <w:jc w:val="center"/>
                    <w:rPr>
                      <w:color w:val="auto"/>
                    </w:rPr>
                  </w:pPr>
                </w:p>
              </w:tc>
              <w:tc>
                <w:tcPr>
                  <w:tcW w:w="1002" w:type="dxa"/>
                  <w:vAlign w:val="center"/>
                </w:tcPr>
                <w:p>
                  <w:pPr>
                    <w:adjustRightInd w:val="0"/>
                    <w:snapToGrid w:val="0"/>
                    <w:jc w:val="center"/>
                    <w:rPr>
                      <w:color w:val="auto"/>
                    </w:rPr>
                  </w:pPr>
                  <w:r>
                    <w:rPr>
                      <w:bCs/>
                      <w:color w:val="auto"/>
                      <w:szCs w:val="21"/>
                    </w:rPr>
                    <w:t>扩建前</w:t>
                  </w:r>
                </w:p>
              </w:tc>
              <w:tc>
                <w:tcPr>
                  <w:tcW w:w="985" w:type="dxa"/>
                  <w:vAlign w:val="center"/>
                </w:tcPr>
                <w:p>
                  <w:pPr>
                    <w:adjustRightInd w:val="0"/>
                    <w:snapToGrid w:val="0"/>
                    <w:jc w:val="center"/>
                    <w:rPr>
                      <w:color w:val="auto"/>
                    </w:rPr>
                  </w:pPr>
                  <w:r>
                    <w:rPr>
                      <w:bCs/>
                      <w:color w:val="auto"/>
                      <w:szCs w:val="21"/>
                    </w:rPr>
                    <w:t>本项目</w:t>
                  </w:r>
                </w:p>
              </w:tc>
              <w:tc>
                <w:tcPr>
                  <w:tcW w:w="1002" w:type="dxa"/>
                  <w:vAlign w:val="center"/>
                </w:tcPr>
                <w:p>
                  <w:pPr>
                    <w:adjustRightInd w:val="0"/>
                    <w:snapToGrid w:val="0"/>
                    <w:jc w:val="center"/>
                    <w:rPr>
                      <w:color w:val="auto"/>
                    </w:rPr>
                  </w:pPr>
                  <w:r>
                    <w:rPr>
                      <w:rFonts w:hint="eastAsia"/>
                      <w:bCs/>
                      <w:color w:val="auto"/>
                      <w:szCs w:val="21"/>
                    </w:rPr>
                    <w:t>扩建后</w:t>
                  </w:r>
                </w:p>
              </w:tc>
              <w:tc>
                <w:tcPr>
                  <w:tcW w:w="987" w:type="dxa"/>
                  <w:vAlign w:val="center"/>
                </w:tcPr>
                <w:p>
                  <w:pPr>
                    <w:adjustRightInd w:val="0"/>
                    <w:snapToGrid w:val="0"/>
                    <w:jc w:val="center"/>
                    <w:rPr>
                      <w:color w:val="auto"/>
                    </w:rPr>
                  </w:pPr>
                  <w:r>
                    <w:rPr>
                      <w:rFonts w:hint="eastAsia"/>
                      <w:bCs/>
                      <w:color w:val="auto"/>
                      <w:szCs w:val="21"/>
                    </w:rPr>
                    <w:t>变化</w:t>
                  </w:r>
                  <w:r>
                    <w:rPr>
                      <w:bCs/>
                      <w:color w:val="auto"/>
                      <w:szCs w:val="21"/>
                    </w:rPr>
                    <w:t>量</w:t>
                  </w:r>
                </w:p>
              </w:tc>
              <w:tc>
                <w:tcPr>
                  <w:tcW w:w="853" w:type="dxa"/>
                  <w:vMerge w:val="continue"/>
                  <w:vAlign w:val="center"/>
                </w:tcPr>
                <w:p>
                  <w:pPr>
                    <w:adjustRightInd w:val="0"/>
                    <w:snapToGrid w:val="0"/>
                    <w:jc w:val="center"/>
                    <w:rPr>
                      <w:color w:val="auto"/>
                    </w:rPr>
                  </w:pPr>
                </w:p>
              </w:tc>
              <w:tc>
                <w:tcPr>
                  <w:tcW w:w="690" w:type="dxa"/>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1" w:type="dxa"/>
                  <w:vAlign w:val="center"/>
                </w:tcPr>
                <w:p>
                  <w:pPr>
                    <w:adjustRightInd w:val="0"/>
                    <w:snapToGrid w:val="0"/>
                    <w:jc w:val="center"/>
                    <w:rPr>
                      <w:color w:val="auto"/>
                    </w:rPr>
                  </w:pPr>
                  <w:r>
                    <w:rPr>
                      <w:color w:val="auto"/>
                      <w:szCs w:val="21"/>
                    </w:rPr>
                    <w:t>1</w:t>
                  </w:r>
                </w:p>
              </w:tc>
              <w:tc>
                <w:tcPr>
                  <w:tcW w:w="1069" w:type="dxa"/>
                  <w:vAlign w:val="center"/>
                </w:tcPr>
                <w:p>
                  <w:pPr>
                    <w:jc w:val="center"/>
                    <w:rPr>
                      <w:color w:val="auto"/>
                    </w:rPr>
                  </w:pPr>
                  <w:r>
                    <w:rPr>
                      <w:rFonts w:hint="eastAsia"/>
                      <w:color w:val="auto"/>
                    </w:rPr>
                    <w:t>钢材</w:t>
                  </w:r>
                </w:p>
              </w:tc>
              <w:tc>
                <w:tcPr>
                  <w:tcW w:w="1137" w:type="dxa"/>
                  <w:vAlign w:val="center"/>
                </w:tcPr>
                <w:p>
                  <w:pPr>
                    <w:jc w:val="center"/>
                    <w:rPr>
                      <w:color w:val="auto"/>
                    </w:rPr>
                  </w:pPr>
                  <w:r>
                    <w:rPr>
                      <w:rFonts w:hint="eastAsia"/>
                      <w:color w:val="auto"/>
                    </w:rPr>
                    <w:t>/</w:t>
                  </w:r>
                </w:p>
              </w:tc>
              <w:tc>
                <w:tcPr>
                  <w:tcW w:w="1002" w:type="dxa"/>
                  <w:vAlign w:val="center"/>
                </w:tcPr>
                <w:p>
                  <w:pPr>
                    <w:jc w:val="center"/>
                    <w:rPr>
                      <w:color w:val="auto"/>
                    </w:rPr>
                  </w:pPr>
                  <w:r>
                    <w:rPr>
                      <w:rFonts w:hint="eastAsia"/>
                      <w:color w:val="auto"/>
                    </w:rPr>
                    <w:t>1000</w:t>
                  </w:r>
                </w:p>
              </w:tc>
              <w:tc>
                <w:tcPr>
                  <w:tcW w:w="985" w:type="dxa"/>
                  <w:vAlign w:val="center"/>
                </w:tcPr>
                <w:p>
                  <w:pPr>
                    <w:jc w:val="center"/>
                    <w:rPr>
                      <w:color w:val="auto"/>
                    </w:rPr>
                  </w:pPr>
                  <w:r>
                    <w:rPr>
                      <w:rFonts w:hint="eastAsia"/>
                      <w:color w:val="auto"/>
                    </w:rPr>
                    <w:t>0</w:t>
                  </w:r>
                </w:p>
              </w:tc>
              <w:tc>
                <w:tcPr>
                  <w:tcW w:w="1002" w:type="dxa"/>
                  <w:vAlign w:val="center"/>
                </w:tcPr>
                <w:p>
                  <w:pPr>
                    <w:jc w:val="center"/>
                    <w:rPr>
                      <w:color w:val="auto"/>
                    </w:rPr>
                  </w:pPr>
                  <w:r>
                    <w:rPr>
                      <w:rFonts w:hint="eastAsia"/>
                      <w:color w:val="auto"/>
                    </w:rPr>
                    <w:t>1000</w:t>
                  </w:r>
                </w:p>
              </w:tc>
              <w:tc>
                <w:tcPr>
                  <w:tcW w:w="987" w:type="dxa"/>
                  <w:vAlign w:val="center"/>
                </w:tcPr>
                <w:p>
                  <w:pPr>
                    <w:jc w:val="center"/>
                    <w:rPr>
                      <w:color w:val="auto"/>
                    </w:rPr>
                  </w:pPr>
                  <w:r>
                    <w:rPr>
                      <w:rFonts w:hint="eastAsia"/>
                      <w:color w:val="auto"/>
                    </w:rPr>
                    <w:t>0</w:t>
                  </w:r>
                </w:p>
              </w:tc>
              <w:tc>
                <w:tcPr>
                  <w:tcW w:w="853" w:type="dxa"/>
                  <w:vAlign w:val="center"/>
                </w:tcPr>
                <w:p>
                  <w:pPr>
                    <w:jc w:val="center"/>
                    <w:rPr>
                      <w:color w:val="auto"/>
                    </w:rPr>
                  </w:pPr>
                  <w:r>
                    <w:rPr>
                      <w:rFonts w:hint="eastAsia"/>
                      <w:color w:val="auto"/>
                      <w:szCs w:val="21"/>
                    </w:rPr>
                    <w:t>200t</w:t>
                  </w:r>
                </w:p>
              </w:tc>
              <w:tc>
                <w:tcPr>
                  <w:tcW w:w="690" w:type="dxa"/>
                  <w:vAlign w:val="center"/>
                </w:tcPr>
                <w:p>
                  <w:pPr>
                    <w:jc w:val="center"/>
                    <w:rPr>
                      <w:color w:val="auto"/>
                      <w:szCs w:val="21"/>
                    </w:rPr>
                  </w:pPr>
                  <w:r>
                    <w:rPr>
                      <w:rFonts w:hint="eastAsia"/>
                      <w:color w:val="auto"/>
                      <w:szCs w:val="21"/>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1" w:type="dxa"/>
                  <w:vAlign w:val="center"/>
                </w:tcPr>
                <w:p>
                  <w:pPr>
                    <w:adjustRightInd w:val="0"/>
                    <w:snapToGrid w:val="0"/>
                    <w:jc w:val="center"/>
                    <w:rPr>
                      <w:color w:val="auto"/>
                    </w:rPr>
                  </w:pPr>
                  <w:r>
                    <w:rPr>
                      <w:color w:val="auto"/>
                      <w:szCs w:val="21"/>
                    </w:rPr>
                    <w:t>2</w:t>
                  </w:r>
                </w:p>
              </w:tc>
              <w:tc>
                <w:tcPr>
                  <w:tcW w:w="1069" w:type="dxa"/>
                  <w:vAlign w:val="center"/>
                </w:tcPr>
                <w:p>
                  <w:pPr>
                    <w:jc w:val="center"/>
                    <w:rPr>
                      <w:color w:val="auto"/>
                    </w:rPr>
                  </w:pPr>
                  <w:r>
                    <w:rPr>
                      <w:rFonts w:hint="eastAsia"/>
                      <w:color w:val="auto"/>
                      <w:szCs w:val="21"/>
                    </w:rPr>
                    <w:t>橡胶胶片</w:t>
                  </w:r>
                </w:p>
              </w:tc>
              <w:tc>
                <w:tcPr>
                  <w:tcW w:w="1137" w:type="dxa"/>
                  <w:vAlign w:val="center"/>
                </w:tcPr>
                <w:p>
                  <w:pPr>
                    <w:jc w:val="center"/>
                    <w:rPr>
                      <w:color w:val="auto"/>
                    </w:rPr>
                  </w:pPr>
                  <w:r>
                    <w:rPr>
                      <w:rFonts w:hint="eastAsia"/>
                      <w:color w:val="auto"/>
                    </w:rPr>
                    <w:t>/</w:t>
                  </w:r>
                </w:p>
              </w:tc>
              <w:tc>
                <w:tcPr>
                  <w:tcW w:w="1002" w:type="dxa"/>
                  <w:vAlign w:val="center"/>
                </w:tcPr>
                <w:p>
                  <w:pPr>
                    <w:adjustRightInd w:val="0"/>
                    <w:snapToGrid w:val="0"/>
                    <w:jc w:val="center"/>
                    <w:rPr>
                      <w:color w:val="auto"/>
                    </w:rPr>
                  </w:pPr>
                  <w:r>
                    <w:rPr>
                      <w:rFonts w:hint="eastAsia"/>
                      <w:color w:val="auto"/>
                    </w:rPr>
                    <w:t>100</w:t>
                  </w:r>
                </w:p>
              </w:tc>
              <w:tc>
                <w:tcPr>
                  <w:tcW w:w="985" w:type="dxa"/>
                  <w:vAlign w:val="center"/>
                </w:tcPr>
                <w:p>
                  <w:pPr>
                    <w:adjustRightInd w:val="0"/>
                    <w:snapToGrid w:val="0"/>
                    <w:jc w:val="center"/>
                    <w:rPr>
                      <w:color w:val="auto"/>
                    </w:rPr>
                  </w:pPr>
                  <w:r>
                    <w:rPr>
                      <w:rFonts w:hint="eastAsia"/>
                      <w:color w:val="auto"/>
                    </w:rPr>
                    <w:t>0</w:t>
                  </w:r>
                </w:p>
              </w:tc>
              <w:tc>
                <w:tcPr>
                  <w:tcW w:w="1002" w:type="dxa"/>
                  <w:vAlign w:val="center"/>
                </w:tcPr>
                <w:p>
                  <w:pPr>
                    <w:adjustRightInd w:val="0"/>
                    <w:snapToGrid w:val="0"/>
                    <w:jc w:val="center"/>
                    <w:rPr>
                      <w:color w:val="auto"/>
                    </w:rPr>
                  </w:pPr>
                  <w:r>
                    <w:rPr>
                      <w:rFonts w:hint="eastAsia"/>
                      <w:color w:val="auto"/>
                    </w:rPr>
                    <w:t>100</w:t>
                  </w:r>
                </w:p>
              </w:tc>
              <w:tc>
                <w:tcPr>
                  <w:tcW w:w="987" w:type="dxa"/>
                  <w:vAlign w:val="center"/>
                </w:tcPr>
                <w:p>
                  <w:pPr>
                    <w:adjustRightInd w:val="0"/>
                    <w:snapToGrid w:val="0"/>
                    <w:jc w:val="center"/>
                    <w:rPr>
                      <w:color w:val="auto"/>
                    </w:rPr>
                  </w:pPr>
                  <w:r>
                    <w:rPr>
                      <w:rFonts w:hint="eastAsia"/>
                      <w:color w:val="auto"/>
                    </w:rPr>
                    <w:t>0</w:t>
                  </w:r>
                </w:p>
              </w:tc>
              <w:tc>
                <w:tcPr>
                  <w:tcW w:w="853" w:type="dxa"/>
                  <w:vAlign w:val="center"/>
                </w:tcPr>
                <w:p>
                  <w:pPr>
                    <w:jc w:val="center"/>
                    <w:rPr>
                      <w:color w:val="auto"/>
                    </w:rPr>
                  </w:pPr>
                  <w:r>
                    <w:rPr>
                      <w:rFonts w:hint="eastAsia"/>
                      <w:color w:val="auto"/>
                      <w:szCs w:val="21"/>
                    </w:rPr>
                    <w:t>25t</w:t>
                  </w:r>
                </w:p>
              </w:tc>
              <w:tc>
                <w:tcPr>
                  <w:tcW w:w="690" w:type="dxa"/>
                  <w:vAlign w:val="center"/>
                </w:tcPr>
                <w:p>
                  <w:pPr>
                    <w:jc w:val="center"/>
                    <w:rPr>
                      <w:color w:val="auto"/>
                      <w:szCs w:val="21"/>
                    </w:rPr>
                  </w:pPr>
                  <w:r>
                    <w:rPr>
                      <w:rFonts w:hint="eastAsia"/>
                      <w:color w:val="auto"/>
                      <w:szCs w:val="21"/>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1" w:type="dxa"/>
                  <w:vAlign w:val="center"/>
                </w:tcPr>
                <w:p>
                  <w:pPr>
                    <w:adjustRightInd w:val="0"/>
                    <w:snapToGrid w:val="0"/>
                    <w:jc w:val="center"/>
                    <w:rPr>
                      <w:color w:val="auto"/>
                      <w:szCs w:val="21"/>
                    </w:rPr>
                  </w:pPr>
                  <w:r>
                    <w:rPr>
                      <w:rFonts w:hint="eastAsia"/>
                      <w:color w:val="auto"/>
                      <w:szCs w:val="21"/>
                    </w:rPr>
                    <w:t>3</w:t>
                  </w:r>
                </w:p>
              </w:tc>
              <w:tc>
                <w:tcPr>
                  <w:tcW w:w="1069" w:type="dxa"/>
                  <w:vAlign w:val="center"/>
                </w:tcPr>
                <w:p>
                  <w:pPr>
                    <w:jc w:val="center"/>
                    <w:rPr>
                      <w:color w:val="auto"/>
                      <w:szCs w:val="21"/>
                    </w:rPr>
                  </w:pPr>
                  <w:r>
                    <w:rPr>
                      <w:rFonts w:hint="eastAsia"/>
                      <w:color w:val="auto"/>
                      <w:szCs w:val="21"/>
                    </w:rPr>
                    <w:t>乙醇</w:t>
                  </w:r>
                </w:p>
              </w:tc>
              <w:tc>
                <w:tcPr>
                  <w:tcW w:w="1137" w:type="dxa"/>
                  <w:vAlign w:val="center"/>
                </w:tcPr>
                <w:p>
                  <w:pPr>
                    <w:jc w:val="center"/>
                    <w:rPr>
                      <w:color w:val="auto"/>
                      <w:szCs w:val="21"/>
                    </w:rPr>
                  </w:pPr>
                  <w:r>
                    <w:rPr>
                      <w:rFonts w:hint="eastAsia"/>
                      <w:color w:val="auto"/>
                    </w:rPr>
                    <w:t>95%酒精；2L/瓶</w:t>
                  </w:r>
                </w:p>
              </w:tc>
              <w:tc>
                <w:tcPr>
                  <w:tcW w:w="1002" w:type="dxa"/>
                  <w:vAlign w:val="center"/>
                </w:tcPr>
                <w:p>
                  <w:pPr>
                    <w:adjustRightInd w:val="0"/>
                    <w:snapToGrid w:val="0"/>
                    <w:jc w:val="center"/>
                    <w:rPr>
                      <w:color w:val="auto"/>
                      <w:szCs w:val="21"/>
                    </w:rPr>
                  </w:pPr>
                  <w:r>
                    <w:rPr>
                      <w:rFonts w:hint="eastAsia"/>
                      <w:color w:val="auto"/>
                      <w:szCs w:val="21"/>
                    </w:rPr>
                    <w:t>0.01</w:t>
                  </w:r>
                </w:p>
              </w:tc>
              <w:tc>
                <w:tcPr>
                  <w:tcW w:w="985" w:type="dxa"/>
                  <w:vAlign w:val="center"/>
                </w:tcPr>
                <w:p>
                  <w:pPr>
                    <w:jc w:val="center"/>
                    <w:rPr>
                      <w:color w:val="auto"/>
                      <w:szCs w:val="21"/>
                    </w:rPr>
                  </w:pPr>
                  <w:r>
                    <w:rPr>
                      <w:rFonts w:hint="eastAsia"/>
                      <w:color w:val="auto"/>
                    </w:rPr>
                    <w:t>0</w:t>
                  </w:r>
                </w:p>
              </w:tc>
              <w:tc>
                <w:tcPr>
                  <w:tcW w:w="1002" w:type="dxa"/>
                  <w:vAlign w:val="center"/>
                </w:tcPr>
                <w:p>
                  <w:pPr>
                    <w:adjustRightInd w:val="0"/>
                    <w:snapToGrid w:val="0"/>
                    <w:jc w:val="center"/>
                    <w:rPr>
                      <w:color w:val="auto"/>
                      <w:szCs w:val="21"/>
                    </w:rPr>
                  </w:pPr>
                  <w:r>
                    <w:rPr>
                      <w:rFonts w:hint="eastAsia"/>
                      <w:color w:val="auto"/>
                      <w:szCs w:val="21"/>
                    </w:rPr>
                    <w:t>0.01</w:t>
                  </w:r>
                </w:p>
              </w:tc>
              <w:tc>
                <w:tcPr>
                  <w:tcW w:w="987" w:type="dxa"/>
                  <w:vAlign w:val="center"/>
                </w:tcPr>
                <w:p>
                  <w:pPr>
                    <w:jc w:val="center"/>
                    <w:rPr>
                      <w:color w:val="auto"/>
                      <w:szCs w:val="21"/>
                    </w:rPr>
                  </w:pPr>
                  <w:r>
                    <w:rPr>
                      <w:rFonts w:hint="eastAsia"/>
                      <w:color w:val="auto"/>
                    </w:rPr>
                    <w:t>0</w:t>
                  </w:r>
                </w:p>
              </w:tc>
              <w:tc>
                <w:tcPr>
                  <w:tcW w:w="853" w:type="dxa"/>
                  <w:vAlign w:val="center"/>
                </w:tcPr>
                <w:p>
                  <w:pPr>
                    <w:adjustRightInd w:val="0"/>
                    <w:snapToGrid w:val="0"/>
                    <w:jc w:val="center"/>
                    <w:rPr>
                      <w:color w:val="auto"/>
                      <w:szCs w:val="21"/>
                    </w:rPr>
                  </w:pPr>
                  <w:r>
                    <w:rPr>
                      <w:rFonts w:hint="eastAsia"/>
                      <w:color w:val="auto"/>
                      <w:szCs w:val="21"/>
                    </w:rPr>
                    <w:t>0.01t</w:t>
                  </w:r>
                </w:p>
              </w:tc>
              <w:tc>
                <w:tcPr>
                  <w:tcW w:w="690" w:type="dxa"/>
                  <w:vAlign w:val="center"/>
                </w:tcPr>
                <w:p>
                  <w:pPr>
                    <w:adjustRightInd w:val="0"/>
                    <w:snapToGrid w:val="0"/>
                    <w:jc w:val="center"/>
                    <w:rPr>
                      <w:color w:val="auto"/>
                      <w:szCs w:val="21"/>
                    </w:rPr>
                  </w:pPr>
                  <w:r>
                    <w:rPr>
                      <w:rFonts w:hint="eastAsia"/>
                      <w:color w:val="auto"/>
                      <w:szCs w:val="21"/>
                      <w:lang w:eastAsia="zh-CN"/>
                    </w:rPr>
                    <w:t>危化品仓库</w:t>
                  </w:r>
                  <w:r>
                    <w:rPr>
                      <w:rFonts w:hint="eastAsia"/>
                      <w:color w:val="auto"/>
                      <w:szCs w:val="21"/>
                    </w:rPr>
                    <w:t>防爆柜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1" w:type="dxa"/>
                  <w:vAlign w:val="center"/>
                </w:tcPr>
                <w:p>
                  <w:pPr>
                    <w:adjustRightInd w:val="0"/>
                    <w:snapToGrid w:val="0"/>
                    <w:jc w:val="center"/>
                    <w:rPr>
                      <w:color w:val="auto"/>
                      <w:szCs w:val="21"/>
                    </w:rPr>
                  </w:pPr>
                  <w:r>
                    <w:rPr>
                      <w:rFonts w:hint="eastAsia"/>
                      <w:color w:val="auto"/>
                      <w:szCs w:val="21"/>
                    </w:rPr>
                    <w:t>4</w:t>
                  </w:r>
                </w:p>
              </w:tc>
              <w:tc>
                <w:tcPr>
                  <w:tcW w:w="1069" w:type="dxa"/>
                  <w:vAlign w:val="center"/>
                </w:tcPr>
                <w:p>
                  <w:pPr>
                    <w:jc w:val="center"/>
                    <w:rPr>
                      <w:color w:val="auto"/>
                      <w:szCs w:val="21"/>
                    </w:rPr>
                  </w:pPr>
                  <w:r>
                    <w:rPr>
                      <w:rFonts w:hint="eastAsia"/>
                      <w:color w:val="auto"/>
                      <w:szCs w:val="21"/>
                    </w:rPr>
                    <w:t>柴油</w:t>
                  </w:r>
                </w:p>
              </w:tc>
              <w:tc>
                <w:tcPr>
                  <w:tcW w:w="1137" w:type="dxa"/>
                  <w:vAlign w:val="center"/>
                </w:tcPr>
                <w:p>
                  <w:pPr>
                    <w:jc w:val="center"/>
                    <w:rPr>
                      <w:color w:val="auto"/>
                      <w:szCs w:val="21"/>
                    </w:rPr>
                  </w:pPr>
                  <w:r>
                    <w:rPr>
                      <w:rFonts w:hint="eastAsia"/>
                      <w:color w:val="auto"/>
                    </w:rPr>
                    <w:t>0#柴油；25L/桶</w:t>
                  </w:r>
                </w:p>
              </w:tc>
              <w:tc>
                <w:tcPr>
                  <w:tcW w:w="1002" w:type="dxa"/>
                  <w:vAlign w:val="center"/>
                </w:tcPr>
                <w:p>
                  <w:pPr>
                    <w:adjustRightInd w:val="0"/>
                    <w:snapToGrid w:val="0"/>
                    <w:jc w:val="center"/>
                    <w:rPr>
                      <w:color w:val="auto"/>
                      <w:szCs w:val="21"/>
                    </w:rPr>
                  </w:pPr>
                  <w:r>
                    <w:rPr>
                      <w:rFonts w:hint="eastAsia"/>
                      <w:color w:val="auto"/>
                      <w:szCs w:val="21"/>
                    </w:rPr>
                    <w:t>2</w:t>
                  </w:r>
                </w:p>
              </w:tc>
              <w:tc>
                <w:tcPr>
                  <w:tcW w:w="985" w:type="dxa"/>
                  <w:vAlign w:val="center"/>
                </w:tcPr>
                <w:p>
                  <w:pPr>
                    <w:adjustRightInd w:val="0"/>
                    <w:snapToGrid w:val="0"/>
                    <w:jc w:val="center"/>
                    <w:rPr>
                      <w:color w:val="auto"/>
                      <w:szCs w:val="21"/>
                    </w:rPr>
                  </w:pPr>
                  <w:r>
                    <w:rPr>
                      <w:rFonts w:hint="eastAsia"/>
                      <w:color w:val="auto"/>
                    </w:rPr>
                    <w:t>0</w:t>
                  </w:r>
                </w:p>
              </w:tc>
              <w:tc>
                <w:tcPr>
                  <w:tcW w:w="1002" w:type="dxa"/>
                  <w:vAlign w:val="center"/>
                </w:tcPr>
                <w:p>
                  <w:pPr>
                    <w:adjustRightInd w:val="0"/>
                    <w:snapToGrid w:val="0"/>
                    <w:jc w:val="center"/>
                    <w:rPr>
                      <w:color w:val="auto"/>
                      <w:szCs w:val="21"/>
                    </w:rPr>
                  </w:pPr>
                  <w:r>
                    <w:rPr>
                      <w:rFonts w:hint="eastAsia"/>
                      <w:color w:val="auto"/>
                      <w:szCs w:val="21"/>
                    </w:rPr>
                    <w:t>2</w:t>
                  </w:r>
                </w:p>
              </w:tc>
              <w:tc>
                <w:tcPr>
                  <w:tcW w:w="987" w:type="dxa"/>
                  <w:vAlign w:val="center"/>
                </w:tcPr>
                <w:p>
                  <w:pPr>
                    <w:adjustRightInd w:val="0"/>
                    <w:snapToGrid w:val="0"/>
                    <w:jc w:val="center"/>
                    <w:rPr>
                      <w:color w:val="auto"/>
                      <w:szCs w:val="21"/>
                    </w:rPr>
                  </w:pPr>
                  <w:r>
                    <w:rPr>
                      <w:rFonts w:hint="eastAsia"/>
                      <w:color w:val="auto"/>
                    </w:rPr>
                    <w:t>0</w:t>
                  </w:r>
                </w:p>
              </w:tc>
              <w:tc>
                <w:tcPr>
                  <w:tcW w:w="853" w:type="dxa"/>
                  <w:vAlign w:val="center"/>
                </w:tcPr>
                <w:p>
                  <w:pPr>
                    <w:adjustRightInd w:val="0"/>
                    <w:snapToGrid w:val="0"/>
                    <w:jc w:val="center"/>
                    <w:rPr>
                      <w:color w:val="auto"/>
                      <w:szCs w:val="21"/>
                    </w:rPr>
                  </w:pPr>
                  <w:r>
                    <w:rPr>
                      <w:rFonts w:hint="eastAsia"/>
                      <w:color w:val="auto"/>
                      <w:szCs w:val="21"/>
                    </w:rPr>
                    <w:t>2t</w:t>
                  </w:r>
                </w:p>
              </w:tc>
              <w:tc>
                <w:tcPr>
                  <w:tcW w:w="690" w:type="dxa"/>
                  <w:vAlign w:val="center"/>
                </w:tcPr>
                <w:p>
                  <w:pPr>
                    <w:adjustRightInd w:val="0"/>
                    <w:snapToGrid w:val="0"/>
                    <w:jc w:val="center"/>
                    <w:rPr>
                      <w:color w:val="auto"/>
                      <w:szCs w:val="21"/>
                    </w:rPr>
                  </w:pPr>
                  <w:r>
                    <w:rPr>
                      <w:rFonts w:hint="eastAsia"/>
                      <w:color w:val="auto"/>
                      <w:szCs w:val="21"/>
                    </w:rPr>
                    <w:t>危化品仓库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1" w:type="dxa"/>
                  <w:vAlign w:val="center"/>
                </w:tcPr>
                <w:p>
                  <w:pPr>
                    <w:adjustRightInd w:val="0"/>
                    <w:snapToGrid w:val="0"/>
                    <w:jc w:val="center"/>
                    <w:rPr>
                      <w:color w:val="auto"/>
                      <w:szCs w:val="21"/>
                    </w:rPr>
                  </w:pPr>
                  <w:r>
                    <w:rPr>
                      <w:rFonts w:hint="eastAsia"/>
                      <w:color w:val="auto"/>
                      <w:szCs w:val="21"/>
                    </w:rPr>
                    <w:t>5</w:t>
                  </w:r>
                </w:p>
              </w:tc>
              <w:tc>
                <w:tcPr>
                  <w:tcW w:w="1069" w:type="dxa"/>
                  <w:vAlign w:val="center"/>
                </w:tcPr>
                <w:p>
                  <w:pPr>
                    <w:jc w:val="center"/>
                    <w:rPr>
                      <w:color w:val="auto"/>
                      <w:szCs w:val="21"/>
                    </w:rPr>
                  </w:pPr>
                  <w:r>
                    <w:rPr>
                      <w:rFonts w:hint="eastAsia"/>
                      <w:color w:val="auto"/>
                      <w:szCs w:val="21"/>
                    </w:rPr>
                    <w:t>擦拭布</w:t>
                  </w:r>
                </w:p>
              </w:tc>
              <w:tc>
                <w:tcPr>
                  <w:tcW w:w="1137" w:type="dxa"/>
                  <w:vAlign w:val="center"/>
                </w:tcPr>
                <w:p>
                  <w:pPr>
                    <w:jc w:val="center"/>
                    <w:rPr>
                      <w:color w:val="auto"/>
                    </w:rPr>
                  </w:pPr>
                  <w:r>
                    <w:rPr>
                      <w:rFonts w:hint="eastAsia"/>
                      <w:color w:val="auto"/>
                    </w:rPr>
                    <w:t>抹布</w:t>
                  </w:r>
                </w:p>
              </w:tc>
              <w:tc>
                <w:tcPr>
                  <w:tcW w:w="1002" w:type="dxa"/>
                  <w:vAlign w:val="center"/>
                </w:tcPr>
                <w:p>
                  <w:pPr>
                    <w:adjustRightInd w:val="0"/>
                    <w:snapToGrid w:val="0"/>
                    <w:jc w:val="center"/>
                    <w:rPr>
                      <w:color w:val="auto"/>
                      <w:szCs w:val="21"/>
                    </w:rPr>
                  </w:pPr>
                  <w:r>
                    <w:rPr>
                      <w:rFonts w:hint="eastAsia"/>
                      <w:color w:val="auto"/>
                      <w:szCs w:val="21"/>
                    </w:rPr>
                    <w:t>0.09</w:t>
                  </w:r>
                </w:p>
              </w:tc>
              <w:tc>
                <w:tcPr>
                  <w:tcW w:w="985" w:type="dxa"/>
                  <w:vAlign w:val="center"/>
                </w:tcPr>
                <w:p>
                  <w:pPr>
                    <w:adjustRightInd w:val="0"/>
                    <w:snapToGrid w:val="0"/>
                    <w:jc w:val="center"/>
                    <w:rPr>
                      <w:color w:val="auto"/>
                    </w:rPr>
                  </w:pPr>
                  <w:r>
                    <w:rPr>
                      <w:rFonts w:hint="eastAsia"/>
                      <w:color w:val="auto"/>
                    </w:rPr>
                    <w:t>0</w:t>
                  </w:r>
                </w:p>
              </w:tc>
              <w:tc>
                <w:tcPr>
                  <w:tcW w:w="1002" w:type="dxa"/>
                  <w:vAlign w:val="center"/>
                </w:tcPr>
                <w:p>
                  <w:pPr>
                    <w:adjustRightInd w:val="0"/>
                    <w:snapToGrid w:val="0"/>
                    <w:jc w:val="center"/>
                    <w:rPr>
                      <w:color w:val="auto"/>
                      <w:szCs w:val="21"/>
                    </w:rPr>
                  </w:pPr>
                  <w:r>
                    <w:rPr>
                      <w:rFonts w:hint="eastAsia"/>
                      <w:color w:val="auto"/>
                      <w:szCs w:val="21"/>
                    </w:rPr>
                    <w:t>0.09</w:t>
                  </w:r>
                </w:p>
              </w:tc>
              <w:tc>
                <w:tcPr>
                  <w:tcW w:w="987" w:type="dxa"/>
                  <w:vAlign w:val="center"/>
                </w:tcPr>
                <w:p>
                  <w:pPr>
                    <w:adjustRightInd w:val="0"/>
                    <w:snapToGrid w:val="0"/>
                    <w:jc w:val="center"/>
                    <w:rPr>
                      <w:color w:val="auto"/>
                    </w:rPr>
                  </w:pPr>
                  <w:r>
                    <w:rPr>
                      <w:rFonts w:hint="eastAsia"/>
                      <w:color w:val="auto"/>
                    </w:rPr>
                    <w:t>0</w:t>
                  </w:r>
                </w:p>
              </w:tc>
              <w:tc>
                <w:tcPr>
                  <w:tcW w:w="853" w:type="dxa"/>
                  <w:vAlign w:val="center"/>
                </w:tcPr>
                <w:p>
                  <w:pPr>
                    <w:adjustRightInd w:val="0"/>
                    <w:snapToGrid w:val="0"/>
                    <w:jc w:val="center"/>
                    <w:rPr>
                      <w:color w:val="auto"/>
                      <w:szCs w:val="21"/>
                    </w:rPr>
                  </w:pPr>
                  <w:r>
                    <w:rPr>
                      <w:rFonts w:hint="eastAsia"/>
                      <w:color w:val="auto"/>
                      <w:szCs w:val="21"/>
                    </w:rPr>
                    <w:t>0.09</w:t>
                  </w:r>
                </w:p>
              </w:tc>
              <w:tc>
                <w:tcPr>
                  <w:tcW w:w="690" w:type="dxa"/>
                  <w:vAlign w:val="center"/>
                </w:tcPr>
                <w:p>
                  <w:pPr>
                    <w:adjustRightInd w:val="0"/>
                    <w:snapToGrid w:val="0"/>
                    <w:jc w:val="center"/>
                    <w:rPr>
                      <w:color w:val="auto"/>
                      <w:szCs w:val="21"/>
                    </w:rPr>
                  </w:pPr>
                  <w:r>
                    <w:rPr>
                      <w:rFonts w:hint="eastAsia"/>
                      <w:color w:val="auto"/>
                      <w:szCs w:val="21"/>
                    </w:rPr>
                    <w:t>原料仓库</w:t>
                  </w:r>
                </w:p>
              </w:tc>
            </w:tr>
          </w:tbl>
          <w:p>
            <w:pPr>
              <w:spacing w:line="360" w:lineRule="auto"/>
              <w:ind w:firstLine="420" w:firstLineChars="200"/>
              <w:jc w:val="left"/>
              <w:rPr>
                <w:color w:val="auto"/>
                <w:szCs w:val="21"/>
              </w:rPr>
            </w:pPr>
            <w:r>
              <w:rPr>
                <w:rFonts w:hint="eastAsia"/>
                <w:color w:val="auto"/>
                <w:szCs w:val="21"/>
              </w:rPr>
              <w:t>备注：乙醇现存放于防爆柜中，柴油暂时借用邻近企业危化品仓库贮存，现企业自己建设危化品仓库用于存放乙醇及柴油。</w:t>
            </w:r>
          </w:p>
          <w:p>
            <w:pPr>
              <w:jc w:val="center"/>
              <w:rPr>
                <w:b/>
                <w:bCs/>
                <w:color w:val="auto"/>
                <w:szCs w:val="21"/>
              </w:rPr>
            </w:pPr>
            <w:r>
              <w:rPr>
                <w:b/>
                <w:bCs/>
                <w:color w:val="auto"/>
                <w:szCs w:val="21"/>
              </w:rPr>
              <w:t>表2-</w:t>
            </w:r>
            <w:r>
              <w:rPr>
                <w:rFonts w:hint="eastAsia"/>
                <w:b/>
                <w:bCs/>
                <w:color w:val="auto"/>
                <w:szCs w:val="21"/>
              </w:rPr>
              <w:t>4</w:t>
            </w:r>
            <w:r>
              <w:rPr>
                <w:b/>
                <w:bCs/>
                <w:color w:val="auto"/>
                <w:szCs w:val="21"/>
              </w:rPr>
              <w:t>原辅料理化性质</w:t>
            </w:r>
          </w:p>
          <w:tbl>
            <w:tblPr>
              <w:tblStyle w:val="19"/>
              <w:tblW w:w="839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8"/>
              <w:gridCol w:w="816"/>
              <w:gridCol w:w="3150"/>
              <w:gridCol w:w="1434"/>
              <w:gridCol w:w="24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8" w:type="dxa"/>
                  <w:tcBorders>
                    <w:top w:val="single" w:color="auto" w:sz="4" w:space="0"/>
                    <w:left w:val="single" w:color="auto" w:sz="4" w:space="0"/>
                  </w:tcBorders>
                  <w:noWrap/>
                  <w:tcMar>
                    <w:left w:w="28" w:type="dxa"/>
                    <w:right w:w="28" w:type="dxa"/>
                  </w:tcMar>
                  <w:vAlign w:val="center"/>
                </w:tcPr>
                <w:p>
                  <w:pPr>
                    <w:snapToGrid w:val="0"/>
                    <w:spacing w:line="240" w:lineRule="atLeast"/>
                    <w:jc w:val="center"/>
                    <w:rPr>
                      <w:color w:val="auto"/>
                      <w:szCs w:val="21"/>
                    </w:rPr>
                  </w:pPr>
                  <w:r>
                    <w:rPr>
                      <w:color w:val="auto"/>
                      <w:szCs w:val="21"/>
                    </w:rPr>
                    <w:t>序号</w:t>
                  </w:r>
                </w:p>
              </w:tc>
              <w:tc>
                <w:tcPr>
                  <w:tcW w:w="816" w:type="dxa"/>
                  <w:tcBorders>
                    <w:top w:val="single" w:color="auto" w:sz="4" w:space="0"/>
                  </w:tcBorders>
                  <w:noWrap/>
                  <w:vAlign w:val="center"/>
                </w:tcPr>
                <w:p>
                  <w:pPr>
                    <w:snapToGrid w:val="0"/>
                    <w:spacing w:line="240" w:lineRule="atLeast"/>
                    <w:jc w:val="center"/>
                    <w:rPr>
                      <w:color w:val="auto"/>
                      <w:szCs w:val="21"/>
                    </w:rPr>
                  </w:pPr>
                  <w:r>
                    <w:rPr>
                      <w:color w:val="auto"/>
                      <w:szCs w:val="21"/>
                    </w:rPr>
                    <w:t>名称</w:t>
                  </w:r>
                </w:p>
              </w:tc>
              <w:tc>
                <w:tcPr>
                  <w:tcW w:w="3150" w:type="dxa"/>
                  <w:tcBorders>
                    <w:top w:val="single" w:color="auto" w:sz="4" w:space="0"/>
                  </w:tcBorders>
                  <w:noWrap/>
                  <w:vAlign w:val="center"/>
                </w:tcPr>
                <w:p>
                  <w:pPr>
                    <w:snapToGrid w:val="0"/>
                    <w:spacing w:line="240" w:lineRule="atLeast"/>
                    <w:jc w:val="center"/>
                    <w:rPr>
                      <w:color w:val="auto"/>
                      <w:szCs w:val="21"/>
                    </w:rPr>
                  </w:pPr>
                  <w:r>
                    <w:rPr>
                      <w:color w:val="auto"/>
                      <w:szCs w:val="21"/>
                    </w:rPr>
                    <w:t>理化特性</w:t>
                  </w:r>
                </w:p>
              </w:tc>
              <w:tc>
                <w:tcPr>
                  <w:tcW w:w="1434" w:type="dxa"/>
                  <w:tcBorders>
                    <w:top w:val="single" w:color="auto" w:sz="4" w:space="0"/>
                  </w:tcBorders>
                  <w:noWrap/>
                  <w:vAlign w:val="center"/>
                </w:tcPr>
                <w:p>
                  <w:pPr>
                    <w:snapToGrid w:val="0"/>
                    <w:spacing w:line="240" w:lineRule="atLeast"/>
                    <w:jc w:val="center"/>
                    <w:rPr>
                      <w:color w:val="auto"/>
                      <w:spacing w:val="-8"/>
                      <w:szCs w:val="21"/>
                    </w:rPr>
                  </w:pPr>
                  <w:r>
                    <w:rPr>
                      <w:color w:val="auto"/>
                      <w:spacing w:val="-8"/>
                      <w:szCs w:val="21"/>
                    </w:rPr>
                    <w:t>燃烧爆炸性</w:t>
                  </w:r>
                </w:p>
              </w:tc>
              <w:tc>
                <w:tcPr>
                  <w:tcW w:w="2444" w:type="dxa"/>
                  <w:tcBorders>
                    <w:top w:val="single" w:color="auto" w:sz="4" w:space="0"/>
                    <w:right w:val="single" w:color="auto" w:sz="4" w:space="0"/>
                  </w:tcBorders>
                  <w:noWrap/>
                  <w:vAlign w:val="center"/>
                </w:tcPr>
                <w:p>
                  <w:pPr>
                    <w:snapToGrid w:val="0"/>
                    <w:spacing w:line="240" w:lineRule="atLeast"/>
                    <w:jc w:val="center"/>
                    <w:rPr>
                      <w:color w:val="auto"/>
                      <w:szCs w:val="21"/>
                    </w:rPr>
                  </w:pPr>
                  <w:r>
                    <w:rPr>
                      <w:color w:val="auto"/>
                      <w:spacing w:val="-8"/>
                      <w:szCs w:val="21"/>
                    </w:rPr>
                    <w:t>毒性毒理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8" w:type="dxa"/>
                  <w:tcBorders>
                    <w:left w:val="single" w:color="auto" w:sz="4" w:space="0"/>
                  </w:tcBorders>
                  <w:noWrap/>
                  <w:tcMar>
                    <w:left w:w="28" w:type="dxa"/>
                    <w:right w:w="28" w:type="dxa"/>
                  </w:tcMar>
                  <w:vAlign w:val="center"/>
                </w:tcPr>
                <w:p>
                  <w:pPr>
                    <w:snapToGrid w:val="0"/>
                    <w:spacing w:line="240" w:lineRule="atLeast"/>
                    <w:jc w:val="center"/>
                    <w:rPr>
                      <w:color w:val="auto"/>
                      <w:szCs w:val="21"/>
                    </w:rPr>
                  </w:pPr>
                  <w:r>
                    <w:rPr>
                      <w:rFonts w:hint="eastAsia"/>
                      <w:color w:val="auto"/>
                      <w:szCs w:val="21"/>
                    </w:rPr>
                    <w:t>1</w:t>
                  </w:r>
                </w:p>
              </w:tc>
              <w:tc>
                <w:tcPr>
                  <w:tcW w:w="816" w:type="dxa"/>
                  <w:noWrap/>
                  <w:vAlign w:val="center"/>
                </w:tcPr>
                <w:p>
                  <w:pPr>
                    <w:spacing w:line="240" w:lineRule="atLeast"/>
                    <w:jc w:val="center"/>
                    <w:rPr>
                      <w:color w:val="auto"/>
                      <w:szCs w:val="21"/>
                    </w:rPr>
                  </w:pPr>
                  <w:r>
                    <w:rPr>
                      <w:rFonts w:hint="eastAsia"/>
                      <w:color w:val="auto"/>
                      <w:szCs w:val="21"/>
                    </w:rPr>
                    <w:t>乙醇</w:t>
                  </w:r>
                </w:p>
              </w:tc>
              <w:tc>
                <w:tcPr>
                  <w:tcW w:w="3150" w:type="dxa"/>
                  <w:noWrap/>
                  <w:vAlign w:val="center"/>
                </w:tcPr>
                <w:p>
                  <w:pPr>
                    <w:tabs>
                      <w:tab w:val="left" w:pos="180"/>
                      <w:tab w:val="left" w:pos="540"/>
                    </w:tabs>
                    <w:spacing w:line="240" w:lineRule="atLeast"/>
                    <w:jc w:val="center"/>
                    <w:rPr>
                      <w:color w:val="auto"/>
                      <w:szCs w:val="21"/>
                    </w:rPr>
                  </w:pPr>
                  <w:r>
                    <w:rPr>
                      <w:rFonts w:hint="eastAsia"/>
                      <w:color w:val="auto"/>
                      <w:szCs w:val="21"/>
                    </w:rPr>
                    <w:t>纯品，无色液体，有酒香；熔点：-114.1℃；沸点：78.3℃；相对密度=0.79；饱和蒸气压：5.33kPa；临界温度：243.1℃；</w:t>
                  </w:r>
                  <w:r>
                    <w:rPr>
                      <w:rFonts w:hint="eastAsia" w:ascii="Gautami" w:hAnsi="Gautami" w:eastAsia="Gautami" w:cs="Gautami"/>
                      <w:color w:val="auto"/>
                    </w:rPr>
                    <w:t>与水混溶，可混溶于醚、氯仿、甘油等多数有机溶剂</w:t>
                  </w:r>
                  <w:r>
                    <w:rPr>
                      <w:rFonts w:hint="eastAsia" w:ascii="Gautami" w:hAnsi="Gautami" w:cs="Gautami"/>
                      <w:color w:val="auto"/>
                    </w:rPr>
                    <w:t>。</w:t>
                  </w:r>
                </w:p>
              </w:tc>
              <w:tc>
                <w:tcPr>
                  <w:tcW w:w="1434" w:type="dxa"/>
                  <w:noWrap/>
                  <w:vAlign w:val="center"/>
                </w:tcPr>
                <w:p>
                  <w:pPr>
                    <w:tabs>
                      <w:tab w:val="left" w:pos="442"/>
                      <w:tab w:val="right" w:leader="dot" w:pos="8296"/>
                    </w:tabs>
                    <w:adjustRightInd w:val="0"/>
                    <w:snapToGrid w:val="0"/>
                    <w:spacing w:line="240" w:lineRule="atLeast"/>
                    <w:jc w:val="center"/>
                    <w:rPr>
                      <w:color w:val="auto"/>
                      <w:szCs w:val="21"/>
                    </w:rPr>
                  </w:pPr>
                  <w:r>
                    <w:rPr>
                      <w:rFonts w:hint="eastAsia"/>
                      <w:color w:val="auto"/>
                      <w:szCs w:val="21"/>
                    </w:rPr>
                    <w:t>易燃易爆</w:t>
                  </w:r>
                </w:p>
              </w:tc>
              <w:tc>
                <w:tcPr>
                  <w:tcW w:w="2444" w:type="dxa"/>
                  <w:tcBorders>
                    <w:right w:val="single" w:color="auto" w:sz="4" w:space="0"/>
                  </w:tcBorders>
                  <w:noWrap/>
                  <w:vAlign w:val="center"/>
                </w:tcPr>
                <w:p>
                  <w:pPr>
                    <w:tabs>
                      <w:tab w:val="left" w:pos="180"/>
                      <w:tab w:val="left" w:pos="540"/>
                    </w:tabs>
                    <w:spacing w:line="240" w:lineRule="atLeast"/>
                    <w:jc w:val="center"/>
                    <w:rPr>
                      <w:color w:val="auto"/>
                      <w:szCs w:val="21"/>
                    </w:rPr>
                  </w:pPr>
                  <w:r>
                    <w:rPr>
                      <w:rFonts w:hint="eastAsia"/>
                      <w:color w:val="auto"/>
                      <w:szCs w:val="21"/>
                    </w:rPr>
                    <w:t>LD</w:t>
                  </w:r>
                  <w:r>
                    <w:rPr>
                      <w:rFonts w:hint="eastAsia"/>
                      <w:color w:val="auto"/>
                      <w:szCs w:val="21"/>
                      <w:vertAlign w:val="subscript"/>
                    </w:rPr>
                    <w:t>50</w:t>
                  </w:r>
                  <w:r>
                    <w:rPr>
                      <w:rFonts w:hint="eastAsia"/>
                      <w:color w:val="auto"/>
                      <w:szCs w:val="21"/>
                    </w:rPr>
                    <w:t>：7060mg/kg(兔经口)；7430mg/kg(兔经皮)；LC</w:t>
                  </w:r>
                  <w:r>
                    <w:rPr>
                      <w:rFonts w:hint="eastAsia"/>
                      <w:color w:val="auto"/>
                      <w:szCs w:val="21"/>
                      <w:vertAlign w:val="subscript"/>
                    </w:rPr>
                    <w:t>50</w:t>
                  </w:r>
                  <w:r>
                    <w:rPr>
                      <w:rFonts w:hint="eastAsia"/>
                      <w:color w:val="auto"/>
                      <w:szCs w:val="21"/>
                    </w:rPr>
                    <w:t>：37620mg/m</w:t>
                  </w:r>
                  <w:r>
                    <w:rPr>
                      <w:rFonts w:hint="eastAsia"/>
                      <w:color w:val="auto"/>
                      <w:szCs w:val="21"/>
                      <w:vertAlign w:val="superscript"/>
                    </w:rPr>
                    <w:t>3</w:t>
                  </w:r>
                  <w:r>
                    <w:rPr>
                      <w:rFonts w:hint="eastAsia"/>
                      <w:color w:val="auto"/>
                      <w:szCs w:val="21"/>
                    </w:rPr>
                    <w:t>，10小时(大鼠吸入)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8" w:type="dxa"/>
                  <w:tcBorders>
                    <w:left w:val="single" w:color="auto" w:sz="4" w:space="0"/>
                  </w:tcBorders>
                  <w:noWrap/>
                  <w:tcMar>
                    <w:left w:w="28" w:type="dxa"/>
                    <w:right w:w="28" w:type="dxa"/>
                  </w:tcMar>
                  <w:vAlign w:val="center"/>
                </w:tcPr>
                <w:p>
                  <w:pPr>
                    <w:snapToGrid w:val="0"/>
                    <w:spacing w:line="240" w:lineRule="atLeast"/>
                    <w:jc w:val="center"/>
                    <w:rPr>
                      <w:color w:val="auto"/>
                      <w:szCs w:val="21"/>
                    </w:rPr>
                  </w:pPr>
                  <w:r>
                    <w:rPr>
                      <w:rFonts w:hint="eastAsia"/>
                      <w:color w:val="auto"/>
                      <w:szCs w:val="21"/>
                    </w:rPr>
                    <w:t>2</w:t>
                  </w:r>
                </w:p>
              </w:tc>
              <w:tc>
                <w:tcPr>
                  <w:tcW w:w="816" w:type="dxa"/>
                  <w:noWrap/>
                  <w:vAlign w:val="center"/>
                </w:tcPr>
                <w:p>
                  <w:pPr>
                    <w:spacing w:line="240" w:lineRule="atLeast"/>
                    <w:jc w:val="center"/>
                    <w:rPr>
                      <w:color w:val="auto"/>
                      <w:szCs w:val="21"/>
                      <w:shd w:val="clear" w:color="auto" w:fill="FFFFFF"/>
                    </w:rPr>
                  </w:pPr>
                  <w:r>
                    <w:rPr>
                      <w:rFonts w:hint="eastAsia"/>
                      <w:color w:val="auto"/>
                      <w:szCs w:val="21"/>
                    </w:rPr>
                    <w:t>柴油</w:t>
                  </w:r>
                </w:p>
              </w:tc>
              <w:tc>
                <w:tcPr>
                  <w:tcW w:w="3150" w:type="dxa"/>
                  <w:noWrap/>
                  <w:vAlign w:val="center"/>
                </w:tcPr>
                <w:p>
                  <w:pPr>
                    <w:tabs>
                      <w:tab w:val="left" w:pos="180"/>
                      <w:tab w:val="left" w:pos="540"/>
                    </w:tabs>
                    <w:spacing w:line="240" w:lineRule="atLeast"/>
                    <w:jc w:val="center"/>
                    <w:rPr>
                      <w:color w:val="auto"/>
                      <w:szCs w:val="21"/>
                    </w:rPr>
                  </w:pPr>
                  <w:r>
                    <w:rPr>
                      <w:rFonts w:hint="eastAsia"/>
                      <w:color w:val="auto"/>
                      <w:szCs w:val="21"/>
                    </w:rPr>
                    <w:t>淡黄色透明油液，轻微石油味；pH值：中性；沸点：163~357℃；闪火点：＞52℃；自燃温度：177℃；密度：0.8g/cm</w:t>
                  </w:r>
                  <w:r>
                    <w:rPr>
                      <w:rFonts w:hint="eastAsia"/>
                      <w:color w:val="auto"/>
                      <w:szCs w:val="21"/>
                      <w:vertAlign w:val="superscript"/>
                    </w:rPr>
                    <w:t>3</w:t>
                  </w:r>
                  <w:r>
                    <w:rPr>
                      <w:rFonts w:hint="eastAsia"/>
                      <w:color w:val="auto"/>
                      <w:szCs w:val="21"/>
                    </w:rPr>
                    <w:t>；不溶于水。</w:t>
                  </w:r>
                </w:p>
              </w:tc>
              <w:tc>
                <w:tcPr>
                  <w:tcW w:w="1434" w:type="dxa"/>
                  <w:noWrap/>
                  <w:vAlign w:val="center"/>
                </w:tcPr>
                <w:p>
                  <w:pPr>
                    <w:tabs>
                      <w:tab w:val="left" w:pos="442"/>
                      <w:tab w:val="right" w:leader="dot" w:pos="8296"/>
                    </w:tabs>
                    <w:adjustRightInd w:val="0"/>
                    <w:snapToGrid w:val="0"/>
                    <w:spacing w:line="240" w:lineRule="atLeast"/>
                    <w:jc w:val="center"/>
                    <w:rPr>
                      <w:color w:val="auto"/>
                      <w:szCs w:val="21"/>
                    </w:rPr>
                  </w:pPr>
                  <w:r>
                    <w:rPr>
                      <w:rFonts w:hint="eastAsia"/>
                      <w:color w:val="auto"/>
                      <w:szCs w:val="21"/>
                    </w:rPr>
                    <w:t>易燃易爆</w:t>
                  </w:r>
                </w:p>
              </w:tc>
              <w:tc>
                <w:tcPr>
                  <w:tcW w:w="2444" w:type="dxa"/>
                  <w:tcBorders>
                    <w:right w:val="single" w:color="auto" w:sz="4" w:space="0"/>
                  </w:tcBorders>
                  <w:noWrap/>
                  <w:vAlign w:val="center"/>
                </w:tcPr>
                <w:p>
                  <w:pPr>
                    <w:tabs>
                      <w:tab w:val="left" w:pos="442"/>
                      <w:tab w:val="right" w:leader="dot" w:pos="8296"/>
                    </w:tabs>
                    <w:adjustRightInd w:val="0"/>
                    <w:snapToGrid w:val="0"/>
                    <w:spacing w:line="240" w:lineRule="atLeast"/>
                    <w:jc w:val="center"/>
                    <w:rPr>
                      <w:color w:val="auto"/>
                      <w:szCs w:val="21"/>
                    </w:rPr>
                  </w:pPr>
                  <w:r>
                    <w:rPr>
                      <w:rFonts w:hint="eastAsia"/>
                      <w:color w:val="auto"/>
                      <w:szCs w:val="21"/>
                    </w:rPr>
                    <w:t>无资料</w:t>
                  </w:r>
                </w:p>
              </w:tc>
            </w:tr>
          </w:tbl>
          <w:p>
            <w:pPr>
              <w:pStyle w:val="2"/>
              <w:spacing w:line="240" w:lineRule="auto"/>
              <w:ind w:firstLine="422" w:firstLineChars="200"/>
              <w:jc w:val="center"/>
              <w:rPr>
                <w:rFonts w:ascii="Times New Roman" w:hAnsi="Times New Roman"/>
                <w:b/>
                <w:color w:val="auto"/>
                <w:kern w:val="0"/>
                <w:sz w:val="21"/>
                <w:szCs w:val="21"/>
              </w:rPr>
            </w:pPr>
            <w:r>
              <w:rPr>
                <w:rFonts w:hint="eastAsia" w:ascii="Times New Roman" w:hAnsi="Times New Roman"/>
                <w:b/>
                <w:color w:val="auto"/>
                <w:kern w:val="0"/>
                <w:sz w:val="21"/>
                <w:szCs w:val="21"/>
              </w:rPr>
              <w:t>表2-5</w:t>
            </w:r>
            <w:r>
              <w:rPr>
                <w:rFonts w:ascii="Times New Roman" w:hAnsi="Times New Roman"/>
                <w:b/>
                <w:color w:val="auto"/>
                <w:kern w:val="0"/>
                <w:sz w:val="21"/>
                <w:szCs w:val="21"/>
              </w:rPr>
              <w:t>主要设备清单</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91"/>
              <w:gridCol w:w="1113"/>
              <w:gridCol w:w="905"/>
              <w:gridCol w:w="930"/>
              <w:gridCol w:w="930"/>
              <w:gridCol w:w="930"/>
              <w:gridCol w:w="934"/>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21" w:type="pct"/>
                  <w:vMerge w:val="restart"/>
                  <w:noWrap/>
                  <w:vAlign w:val="center"/>
                </w:tcPr>
                <w:p>
                  <w:pPr>
                    <w:jc w:val="center"/>
                    <w:rPr>
                      <w:color w:val="auto"/>
                      <w:szCs w:val="21"/>
                    </w:rPr>
                  </w:pPr>
                  <w:r>
                    <w:rPr>
                      <w:color w:val="auto"/>
                      <w:szCs w:val="21"/>
                    </w:rPr>
                    <w:t>序号</w:t>
                  </w:r>
                </w:p>
              </w:tc>
              <w:tc>
                <w:tcPr>
                  <w:tcW w:w="589" w:type="pct"/>
                  <w:vMerge w:val="restart"/>
                  <w:noWrap/>
                  <w:vAlign w:val="center"/>
                </w:tcPr>
                <w:p>
                  <w:pPr>
                    <w:jc w:val="center"/>
                    <w:rPr>
                      <w:color w:val="auto"/>
                      <w:szCs w:val="21"/>
                    </w:rPr>
                  </w:pPr>
                  <w:r>
                    <w:rPr>
                      <w:color w:val="auto"/>
                      <w:szCs w:val="21"/>
                    </w:rPr>
                    <w:t>名称</w:t>
                  </w:r>
                </w:p>
              </w:tc>
              <w:tc>
                <w:tcPr>
                  <w:tcW w:w="662" w:type="pct"/>
                  <w:vMerge w:val="restart"/>
                  <w:noWrap/>
                  <w:vAlign w:val="center"/>
                </w:tcPr>
                <w:p>
                  <w:pPr>
                    <w:jc w:val="center"/>
                    <w:rPr>
                      <w:color w:val="auto"/>
                      <w:szCs w:val="21"/>
                    </w:rPr>
                  </w:pPr>
                  <w:r>
                    <w:rPr>
                      <w:color w:val="auto"/>
                      <w:szCs w:val="21"/>
                    </w:rPr>
                    <w:t>型号</w:t>
                  </w:r>
                </w:p>
              </w:tc>
              <w:tc>
                <w:tcPr>
                  <w:tcW w:w="538" w:type="pct"/>
                  <w:vMerge w:val="restart"/>
                  <w:noWrap/>
                  <w:vAlign w:val="center"/>
                </w:tcPr>
                <w:p>
                  <w:pPr>
                    <w:jc w:val="center"/>
                    <w:rPr>
                      <w:color w:val="auto"/>
                      <w:szCs w:val="21"/>
                    </w:rPr>
                  </w:pPr>
                  <w:r>
                    <w:rPr>
                      <w:rFonts w:hint="eastAsia"/>
                      <w:color w:val="auto"/>
                      <w:szCs w:val="21"/>
                    </w:rPr>
                    <w:t>规格</w:t>
                  </w:r>
                </w:p>
              </w:tc>
              <w:tc>
                <w:tcPr>
                  <w:tcW w:w="2215" w:type="pct"/>
                  <w:gridSpan w:val="4"/>
                  <w:noWrap/>
                  <w:vAlign w:val="center"/>
                </w:tcPr>
                <w:p>
                  <w:pPr>
                    <w:jc w:val="center"/>
                    <w:rPr>
                      <w:color w:val="auto"/>
                      <w:szCs w:val="21"/>
                    </w:rPr>
                  </w:pPr>
                  <w:r>
                    <w:rPr>
                      <w:color w:val="auto"/>
                      <w:szCs w:val="21"/>
                    </w:rPr>
                    <w:t>数量</w:t>
                  </w:r>
                  <w:r>
                    <w:rPr>
                      <w:rFonts w:hint="eastAsia"/>
                      <w:color w:val="auto"/>
                      <w:szCs w:val="21"/>
                    </w:rPr>
                    <w:t>（台）</w:t>
                  </w:r>
                </w:p>
              </w:tc>
              <w:tc>
                <w:tcPr>
                  <w:tcW w:w="672" w:type="pct"/>
                  <w:vMerge w:val="restart"/>
                  <w:noWrap/>
                  <w:vAlign w:val="center"/>
                </w:tcPr>
                <w:p>
                  <w:pPr>
                    <w:jc w:val="center"/>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21" w:type="pct"/>
                  <w:vMerge w:val="continue"/>
                  <w:noWrap/>
                  <w:vAlign w:val="center"/>
                </w:tcPr>
                <w:p>
                  <w:pPr>
                    <w:jc w:val="center"/>
                    <w:rPr>
                      <w:color w:val="auto"/>
                    </w:rPr>
                  </w:pPr>
                </w:p>
              </w:tc>
              <w:tc>
                <w:tcPr>
                  <w:tcW w:w="589" w:type="pct"/>
                  <w:vMerge w:val="continue"/>
                  <w:noWrap/>
                  <w:vAlign w:val="center"/>
                </w:tcPr>
                <w:p>
                  <w:pPr>
                    <w:jc w:val="center"/>
                    <w:rPr>
                      <w:color w:val="auto"/>
                    </w:rPr>
                  </w:pPr>
                </w:p>
              </w:tc>
              <w:tc>
                <w:tcPr>
                  <w:tcW w:w="662" w:type="pct"/>
                  <w:vMerge w:val="continue"/>
                  <w:noWrap/>
                  <w:vAlign w:val="center"/>
                </w:tcPr>
                <w:p>
                  <w:pPr>
                    <w:jc w:val="center"/>
                    <w:rPr>
                      <w:color w:val="auto"/>
                    </w:rPr>
                  </w:pPr>
                </w:p>
              </w:tc>
              <w:tc>
                <w:tcPr>
                  <w:tcW w:w="538" w:type="pct"/>
                  <w:vMerge w:val="continue"/>
                  <w:noWrap/>
                  <w:vAlign w:val="center"/>
                </w:tcPr>
                <w:p>
                  <w:pPr>
                    <w:jc w:val="center"/>
                    <w:rPr>
                      <w:color w:val="auto"/>
                    </w:rPr>
                  </w:pPr>
                </w:p>
              </w:tc>
              <w:tc>
                <w:tcPr>
                  <w:tcW w:w="553" w:type="pct"/>
                  <w:noWrap/>
                  <w:vAlign w:val="center"/>
                </w:tcPr>
                <w:p>
                  <w:pPr>
                    <w:jc w:val="center"/>
                    <w:rPr>
                      <w:color w:val="auto"/>
                      <w:szCs w:val="21"/>
                    </w:rPr>
                  </w:pPr>
                  <w:r>
                    <w:rPr>
                      <w:rFonts w:hint="eastAsia"/>
                      <w:color w:val="auto"/>
                      <w:szCs w:val="21"/>
                    </w:rPr>
                    <w:t>扩建前</w:t>
                  </w:r>
                </w:p>
              </w:tc>
              <w:tc>
                <w:tcPr>
                  <w:tcW w:w="553" w:type="pct"/>
                  <w:noWrap/>
                  <w:vAlign w:val="center"/>
                </w:tcPr>
                <w:p>
                  <w:pPr>
                    <w:jc w:val="center"/>
                    <w:rPr>
                      <w:color w:val="auto"/>
                      <w:szCs w:val="21"/>
                    </w:rPr>
                  </w:pPr>
                  <w:r>
                    <w:rPr>
                      <w:rFonts w:hint="eastAsia"/>
                      <w:color w:val="auto"/>
                      <w:szCs w:val="21"/>
                    </w:rPr>
                    <w:t>本项目</w:t>
                  </w:r>
                </w:p>
              </w:tc>
              <w:tc>
                <w:tcPr>
                  <w:tcW w:w="553" w:type="pct"/>
                  <w:noWrap/>
                  <w:vAlign w:val="center"/>
                </w:tcPr>
                <w:p>
                  <w:pPr>
                    <w:jc w:val="center"/>
                    <w:rPr>
                      <w:color w:val="auto"/>
                      <w:szCs w:val="21"/>
                    </w:rPr>
                  </w:pPr>
                  <w:r>
                    <w:rPr>
                      <w:rFonts w:hint="eastAsia"/>
                      <w:color w:val="auto"/>
                      <w:szCs w:val="21"/>
                    </w:rPr>
                    <w:t>扩建后</w:t>
                  </w:r>
                </w:p>
              </w:tc>
              <w:tc>
                <w:tcPr>
                  <w:tcW w:w="555" w:type="pct"/>
                  <w:noWrap/>
                  <w:vAlign w:val="center"/>
                </w:tcPr>
                <w:p>
                  <w:pPr>
                    <w:jc w:val="center"/>
                    <w:rPr>
                      <w:color w:val="auto"/>
                      <w:szCs w:val="21"/>
                    </w:rPr>
                  </w:pPr>
                  <w:r>
                    <w:rPr>
                      <w:rFonts w:hint="eastAsia"/>
                      <w:color w:val="auto"/>
                      <w:szCs w:val="21"/>
                    </w:rPr>
                    <w:t>变化量</w:t>
                  </w:r>
                </w:p>
              </w:tc>
              <w:tc>
                <w:tcPr>
                  <w:tcW w:w="672" w:type="pct"/>
                  <w:vMerge w:val="continue"/>
                  <w:noWrap/>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1" w:type="pct"/>
                  <w:noWrap/>
                  <w:vAlign w:val="center"/>
                </w:tcPr>
                <w:p>
                  <w:pPr>
                    <w:jc w:val="center"/>
                    <w:rPr>
                      <w:color w:val="auto"/>
                      <w:szCs w:val="21"/>
                    </w:rPr>
                  </w:pPr>
                  <w:r>
                    <w:rPr>
                      <w:color w:val="auto"/>
                      <w:szCs w:val="21"/>
                    </w:rPr>
                    <w:t>1</w:t>
                  </w:r>
                </w:p>
              </w:tc>
              <w:tc>
                <w:tcPr>
                  <w:tcW w:w="589" w:type="pct"/>
                  <w:noWrap/>
                  <w:vAlign w:val="center"/>
                </w:tcPr>
                <w:p>
                  <w:pPr>
                    <w:jc w:val="center"/>
                    <w:rPr>
                      <w:color w:val="auto"/>
                      <w:szCs w:val="21"/>
                    </w:rPr>
                  </w:pPr>
                  <w:r>
                    <w:rPr>
                      <w:rFonts w:hint="eastAsia"/>
                      <w:color w:val="auto"/>
                      <w:szCs w:val="21"/>
                    </w:rPr>
                    <w:t>柴油发电机</w:t>
                  </w:r>
                </w:p>
              </w:tc>
              <w:tc>
                <w:tcPr>
                  <w:tcW w:w="662" w:type="pct"/>
                  <w:noWrap/>
                  <w:vAlign w:val="center"/>
                </w:tcPr>
                <w:p>
                  <w:pPr>
                    <w:jc w:val="center"/>
                    <w:rPr>
                      <w:color w:val="auto"/>
                      <w:szCs w:val="21"/>
                    </w:rPr>
                  </w:pPr>
                  <w:r>
                    <w:rPr>
                      <w:color w:val="auto"/>
                      <w:szCs w:val="21"/>
                    </w:rPr>
                    <w:t>YC6K500</w:t>
                  </w:r>
                  <w:r>
                    <w:rPr>
                      <w:rFonts w:hint="eastAsia"/>
                      <w:color w:val="auto"/>
                      <w:szCs w:val="21"/>
                    </w:rPr>
                    <w:t>-</w:t>
                  </w:r>
                  <w:r>
                    <w:rPr>
                      <w:color w:val="auto"/>
                      <w:szCs w:val="21"/>
                    </w:rPr>
                    <w:t>D31</w:t>
                  </w:r>
                </w:p>
              </w:tc>
              <w:tc>
                <w:tcPr>
                  <w:tcW w:w="538" w:type="pct"/>
                  <w:noWrap/>
                  <w:vAlign w:val="center"/>
                </w:tcPr>
                <w:p>
                  <w:pPr>
                    <w:jc w:val="center"/>
                    <w:rPr>
                      <w:color w:val="auto"/>
                      <w:szCs w:val="21"/>
                    </w:rPr>
                  </w:pPr>
                  <w:r>
                    <w:rPr>
                      <w:rFonts w:hint="eastAsia"/>
                      <w:color w:val="auto"/>
                      <w:szCs w:val="21"/>
                    </w:rPr>
                    <w:t>30kw/h</w:t>
                  </w:r>
                </w:p>
              </w:tc>
              <w:tc>
                <w:tcPr>
                  <w:tcW w:w="553" w:type="pct"/>
                  <w:noWrap/>
                  <w:vAlign w:val="center"/>
                </w:tcPr>
                <w:p>
                  <w:pPr>
                    <w:jc w:val="center"/>
                    <w:rPr>
                      <w:color w:val="auto"/>
                      <w:szCs w:val="21"/>
                    </w:rPr>
                  </w:pPr>
                  <w:r>
                    <w:rPr>
                      <w:rFonts w:hint="eastAsia"/>
                      <w:color w:val="auto"/>
                      <w:szCs w:val="21"/>
                    </w:rPr>
                    <w:t>1</w:t>
                  </w:r>
                </w:p>
              </w:tc>
              <w:tc>
                <w:tcPr>
                  <w:tcW w:w="553" w:type="pct"/>
                  <w:noWrap/>
                  <w:vAlign w:val="center"/>
                </w:tcPr>
                <w:p>
                  <w:pPr>
                    <w:jc w:val="center"/>
                    <w:rPr>
                      <w:color w:val="auto"/>
                      <w:szCs w:val="21"/>
                    </w:rPr>
                  </w:pPr>
                  <w:r>
                    <w:rPr>
                      <w:rFonts w:hint="eastAsia"/>
                      <w:color w:val="auto"/>
                      <w:szCs w:val="21"/>
                    </w:rPr>
                    <w:t>0</w:t>
                  </w:r>
                </w:p>
              </w:tc>
              <w:tc>
                <w:tcPr>
                  <w:tcW w:w="553" w:type="pct"/>
                  <w:noWrap/>
                  <w:vAlign w:val="center"/>
                </w:tcPr>
                <w:p>
                  <w:pPr>
                    <w:jc w:val="center"/>
                    <w:rPr>
                      <w:color w:val="auto"/>
                      <w:szCs w:val="21"/>
                    </w:rPr>
                  </w:pPr>
                  <w:r>
                    <w:rPr>
                      <w:rFonts w:hint="eastAsia"/>
                      <w:color w:val="auto"/>
                      <w:szCs w:val="21"/>
                    </w:rPr>
                    <w:t>1</w:t>
                  </w:r>
                </w:p>
              </w:tc>
              <w:tc>
                <w:tcPr>
                  <w:tcW w:w="555" w:type="pct"/>
                  <w:noWrap/>
                  <w:vAlign w:val="center"/>
                </w:tcPr>
                <w:p>
                  <w:pPr>
                    <w:jc w:val="center"/>
                    <w:rPr>
                      <w:color w:val="auto"/>
                      <w:szCs w:val="21"/>
                    </w:rPr>
                  </w:pPr>
                  <w:r>
                    <w:rPr>
                      <w:rFonts w:hint="eastAsia"/>
                      <w:color w:val="auto"/>
                      <w:szCs w:val="21"/>
                    </w:rPr>
                    <w:t>0</w:t>
                  </w:r>
                </w:p>
              </w:tc>
              <w:tc>
                <w:tcPr>
                  <w:tcW w:w="672" w:type="pct"/>
                  <w:noWrap/>
                  <w:vAlign w:val="center"/>
                </w:tcPr>
                <w:p>
                  <w:pPr>
                    <w:jc w:val="center"/>
                    <w:rPr>
                      <w:color w:val="auto"/>
                      <w:szCs w:val="21"/>
                    </w:rPr>
                  </w:pPr>
                  <w:r>
                    <w:rPr>
                      <w:rFonts w:hint="eastAsia"/>
                      <w:color w:val="auto"/>
                      <w:szCs w:val="21"/>
                    </w:rPr>
                    <w:t>1小时耗油60L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1" w:type="pct"/>
                  <w:noWrap/>
                  <w:vAlign w:val="center"/>
                </w:tcPr>
                <w:p>
                  <w:pPr>
                    <w:jc w:val="center"/>
                    <w:rPr>
                      <w:color w:val="auto"/>
                      <w:szCs w:val="21"/>
                    </w:rPr>
                  </w:pPr>
                  <w:r>
                    <w:rPr>
                      <w:rFonts w:hint="eastAsia"/>
                      <w:color w:val="auto"/>
                      <w:szCs w:val="21"/>
                    </w:rPr>
                    <w:t>2</w:t>
                  </w:r>
                </w:p>
              </w:tc>
              <w:tc>
                <w:tcPr>
                  <w:tcW w:w="589" w:type="pct"/>
                  <w:noWrap/>
                  <w:vAlign w:val="center"/>
                </w:tcPr>
                <w:p>
                  <w:pPr>
                    <w:jc w:val="center"/>
                    <w:rPr>
                      <w:color w:val="auto"/>
                      <w:szCs w:val="21"/>
                    </w:rPr>
                  </w:pPr>
                  <w:r>
                    <w:rPr>
                      <w:rFonts w:hint="eastAsia"/>
                      <w:color w:val="auto"/>
                      <w:szCs w:val="21"/>
                    </w:rPr>
                    <w:t>组装机</w:t>
                  </w:r>
                </w:p>
              </w:tc>
              <w:tc>
                <w:tcPr>
                  <w:tcW w:w="662" w:type="pct"/>
                  <w:noWrap/>
                  <w:vAlign w:val="center"/>
                </w:tcPr>
                <w:p>
                  <w:pPr>
                    <w:jc w:val="center"/>
                    <w:rPr>
                      <w:color w:val="auto"/>
                      <w:szCs w:val="21"/>
                    </w:rPr>
                  </w:pPr>
                  <w:r>
                    <w:rPr>
                      <w:color w:val="auto"/>
                      <w:szCs w:val="21"/>
                    </w:rPr>
                    <w:t>TS-500A</w:t>
                  </w:r>
                </w:p>
              </w:tc>
              <w:tc>
                <w:tcPr>
                  <w:tcW w:w="538" w:type="pct"/>
                  <w:noWrap/>
                  <w:vAlign w:val="center"/>
                </w:tcPr>
                <w:p>
                  <w:pPr>
                    <w:jc w:val="center"/>
                    <w:rPr>
                      <w:color w:val="auto"/>
                      <w:szCs w:val="21"/>
                    </w:rPr>
                  </w:pPr>
                  <w:r>
                    <w:rPr>
                      <w:rFonts w:hint="eastAsia"/>
                      <w:color w:val="auto"/>
                      <w:szCs w:val="21"/>
                    </w:rPr>
                    <w:t>/</w:t>
                  </w:r>
                </w:p>
              </w:tc>
              <w:tc>
                <w:tcPr>
                  <w:tcW w:w="553" w:type="pct"/>
                  <w:noWrap/>
                  <w:vAlign w:val="center"/>
                </w:tcPr>
                <w:p>
                  <w:pPr>
                    <w:jc w:val="center"/>
                    <w:rPr>
                      <w:color w:val="auto"/>
                      <w:szCs w:val="21"/>
                    </w:rPr>
                  </w:pPr>
                  <w:r>
                    <w:rPr>
                      <w:rFonts w:hint="eastAsia"/>
                      <w:color w:val="auto"/>
                      <w:szCs w:val="21"/>
                    </w:rPr>
                    <w:t>12</w:t>
                  </w:r>
                </w:p>
              </w:tc>
              <w:tc>
                <w:tcPr>
                  <w:tcW w:w="553" w:type="pct"/>
                  <w:noWrap/>
                  <w:vAlign w:val="center"/>
                </w:tcPr>
                <w:p>
                  <w:pPr>
                    <w:jc w:val="center"/>
                    <w:rPr>
                      <w:color w:val="auto"/>
                      <w:szCs w:val="21"/>
                    </w:rPr>
                  </w:pPr>
                  <w:r>
                    <w:rPr>
                      <w:rFonts w:hint="eastAsia"/>
                      <w:color w:val="auto"/>
                      <w:szCs w:val="21"/>
                    </w:rPr>
                    <w:t>0</w:t>
                  </w:r>
                </w:p>
              </w:tc>
              <w:tc>
                <w:tcPr>
                  <w:tcW w:w="553" w:type="pct"/>
                  <w:noWrap/>
                  <w:vAlign w:val="center"/>
                </w:tcPr>
                <w:p>
                  <w:pPr>
                    <w:jc w:val="center"/>
                    <w:rPr>
                      <w:color w:val="auto"/>
                      <w:szCs w:val="21"/>
                    </w:rPr>
                  </w:pPr>
                  <w:r>
                    <w:rPr>
                      <w:rFonts w:hint="eastAsia"/>
                      <w:color w:val="auto"/>
                      <w:szCs w:val="21"/>
                    </w:rPr>
                    <w:t>12</w:t>
                  </w:r>
                </w:p>
              </w:tc>
              <w:tc>
                <w:tcPr>
                  <w:tcW w:w="555" w:type="pct"/>
                  <w:noWrap/>
                  <w:vAlign w:val="center"/>
                </w:tcPr>
                <w:p>
                  <w:pPr>
                    <w:jc w:val="center"/>
                    <w:rPr>
                      <w:color w:val="auto"/>
                      <w:szCs w:val="21"/>
                    </w:rPr>
                  </w:pPr>
                  <w:r>
                    <w:rPr>
                      <w:rFonts w:hint="eastAsia"/>
                      <w:color w:val="auto"/>
                      <w:szCs w:val="21"/>
                    </w:rPr>
                    <w:t>0</w:t>
                  </w:r>
                </w:p>
              </w:tc>
              <w:tc>
                <w:tcPr>
                  <w:tcW w:w="672" w:type="pct"/>
                  <w:noWrap/>
                  <w:vAlign w:val="center"/>
                </w:tcPr>
                <w:p>
                  <w:pPr>
                    <w:jc w:val="center"/>
                    <w:rPr>
                      <w:color w:val="auto"/>
                      <w:szCs w:val="21"/>
                    </w:rPr>
                  </w:pPr>
                  <w:r>
                    <w:rPr>
                      <w:rFonts w:hint="eastAsia"/>
                      <w:color w:val="auto"/>
                      <w:szCs w:val="21"/>
                    </w:rPr>
                    <w:t>/</w:t>
                  </w:r>
                </w:p>
              </w:tc>
            </w:tr>
          </w:tbl>
          <w:p>
            <w:pPr>
              <w:pStyle w:val="2"/>
              <w:ind w:firstLine="482" w:firstLineChars="200"/>
              <w:rPr>
                <w:rFonts w:ascii="Times New Roman" w:hAnsi="Times New Roman"/>
                <w:b/>
                <w:bCs w:val="0"/>
                <w:color w:val="auto"/>
                <w:kern w:val="0"/>
                <w:sz w:val="24"/>
                <w:szCs w:val="24"/>
              </w:rPr>
            </w:pPr>
            <w:r>
              <w:rPr>
                <w:rFonts w:hint="eastAsia" w:ascii="Times New Roman" w:hAnsi="Times New Roman"/>
                <w:b/>
                <w:bCs w:val="0"/>
                <w:color w:val="auto"/>
                <w:kern w:val="0"/>
                <w:sz w:val="24"/>
                <w:szCs w:val="24"/>
              </w:rPr>
              <w:t>5、仓库存储分析</w:t>
            </w:r>
          </w:p>
          <w:p>
            <w:pPr>
              <w:pStyle w:val="46"/>
              <w:spacing w:after="0" w:line="240" w:lineRule="auto"/>
              <w:ind w:left="0" w:leftChars="0"/>
              <w:rPr>
                <w:rFonts w:ascii="Times New Roman" w:hAnsi="Times New Roman" w:cs="Times New Roman"/>
                <w:b/>
                <w:bCs/>
                <w:color w:val="auto"/>
                <w:sz w:val="21"/>
                <w:szCs w:val="21"/>
              </w:rPr>
            </w:pPr>
            <w:r>
              <w:rPr>
                <w:rFonts w:ascii="Times New Roman" w:hAnsi="Times New Roman" w:cs="Times New Roman"/>
                <w:b/>
                <w:bCs/>
                <w:color w:val="auto"/>
                <w:sz w:val="21"/>
                <w:szCs w:val="21"/>
              </w:rPr>
              <w:t>表2-</w:t>
            </w:r>
            <w:r>
              <w:rPr>
                <w:rFonts w:hint="eastAsia" w:ascii="Times New Roman" w:hAnsi="Times New Roman" w:cs="Times New Roman"/>
                <w:b/>
                <w:bCs/>
                <w:color w:val="auto"/>
                <w:sz w:val="21"/>
                <w:szCs w:val="21"/>
              </w:rPr>
              <w:t>6仓库存储物料一览表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257"/>
              <w:gridCol w:w="1257"/>
              <w:gridCol w:w="1257"/>
              <w:gridCol w:w="1257"/>
              <w:gridCol w:w="1257"/>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8" w:type="dxa"/>
                  <w:vAlign w:val="center"/>
                </w:tcPr>
                <w:p>
                  <w:pPr>
                    <w:jc w:val="center"/>
                    <w:rPr>
                      <w:color w:val="auto"/>
                      <w:szCs w:val="21"/>
                    </w:rPr>
                  </w:pPr>
                  <w:r>
                    <w:rPr>
                      <w:rFonts w:hint="eastAsia"/>
                      <w:color w:val="auto"/>
                      <w:szCs w:val="21"/>
                    </w:rPr>
                    <w:t>序号</w:t>
                  </w:r>
                </w:p>
              </w:tc>
              <w:tc>
                <w:tcPr>
                  <w:tcW w:w="1257" w:type="dxa"/>
                  <w:vAlign w:val="center"/>
                </w:tcPr>
                <w:p>
                  <w:pPr>
                    <w:jc w:val="center"/>
                    <w:rPr>
                      <w:color w:val="auto"/>
                      <w:szCs w:val="21"/>
                    </w:rPr>
                  </w:pPr>
                  <w:r>
                    <w:rPr>
                      <w:rFonts w:hint="eastAsia"/>
                      <w:color w:val="auto"/>
                      <w:szCs w:val="21"/>
                    </w:rPr>
                    <w:t>物料名称</w:t>
                  </w:r>
                </w:p>
              </w:tc>
              <w:tc>
                <w:tcPr>
                  <w:tcW w:w="1257" w:type="dxa"/>
                  <w:vAlign w:val="center"/>
                </w:tcPr>
                <w:p>
                  <w:pPr>
                    <w:jc w:val="center"/>
                    <w:rPr>
                      <w:color w:val="auto"/>
                      <w:szCs w:val="21"/>
                    </w:rPr>
                  </w:pPr>
                  <w:r>
                    <w:rPr>
                      <w:rFonts w:hint="eastAsia"/>
                      <w:color w:val="auto"/>
                      <w:szCs w:val="21"/>
                    </w:rPr>
                    <w:t>主要成分</w:t>
                  </w:r>
                </w:p>
              </w:tc>
              <w:tc>
                <w:tcPr>
                  <w:tcW w:w="1257" w:type="dxa"/>
                  <w:vAlign w:val="center"/>
                </w:tcPr>
                <w:p>
                  <w:pPr>
                    <w:jc w:val="center"/>
                    <w:rPr>
                      <w:color w:val="auto"/>
                      <w:szCs w:val="21"/>
                    </w:rPr>
                  </w:pPr>
                  <w:r>
                    <w:rPr>
                      <w:rFonts w:hint="eastAsia"/>
                      <w:color w:val="auto"/>
                      <w:szCs w:val="21"/>
                    </w:rPr>
                    <w:t>规格</w:t>
                  </w:r>
                </w:p>
              </w:tc>
              <w:tc>
                <w:tcPr>
                  <w:tcW w:w="1257" w:type="dxa"/>
                  <w:vAlign w:val="center"/>
                </w:tcPr>
                <w:p>
                  <w:pPr>
                    <w:jc w:val="center"/>
                    <w:rPr>
                      <w:color w:val="auto"/>
                      <w:szCs w:val="21"/>
                    </w:rPr>
                  </w:pPr>
                  <w:r>
                    <w:rPr>
                      <w:rFonts w:hint="eastAsia"/>
                      <w:color w:val="auto"/>
                      <w:szCs w:val="21"/>
                    </w:rPr>
                    <w:t>产生量（t）</w:t>
                  </w:r>
                </w:p>
              </w:tc>
              <w:tc>
                <w:tcPr>
                  <w:tcW w:w="1257" w:type="dxa"/>
                  <w:vAlign w:val="center"/>
                </w:tcPr>
                <w:p>
                  <w:pPr>
                    <w:jc w:val="center"/>
                    <w:rPr>
                      <w:color w:val="auto"/>
                      <w:szCs w:val="21"/>
                    </w:rPr>
                  </w:pPr>
                  <w:r>
                    <w:rPr>
                      <w:rFonts w:hint="eastAsia"/>
                      <w:color w:val="auto"/>
                      <w:szCs w:val="21"/>
                    </w:rPr>
                    <w:t>年贮存量（t）</w:t>
                  </w:r>
                </w:p>
              </w:tc>
              <w:tc>
                <w:tcPr>
                  <w:tcW w:w="1259" w:type="dxa"/>
                  <w:vAlign w:val="center"/>
                </w:tcPr>
                <w:p>
                  <w:pPr>
                    <w:jc w:val="center"/>
                    <w:rPr>
                      <w:color w:val="auto"/>
                      <w:szCs w:val="21"/>
                    </w:rPr>
                  </w:pPr>
                  <w:r>
                    <w:rPr>
                      <w:rFonts w:hint="eastAsia"/>
                      <w:color w:val="auto"/>
                      <w:szCs w:val="21"/>
                    </w:rPr>
                    <w:t>单次最大贮存量（t）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8" w:type="dxa"/>
                  <w:vAlign w:val="center"/>
                </w:tcPr>
                <w:p>
                  <w:pPr>
                    <w:jc w:val="center"/>
                    <w:rPr>
                      <w:color w:val="auto"/>
                      <w:szCs w:val="21"/>
                    </w:rPr>
                  </w:pPr>
                  <w:r>
                    <w:rPr>
                      <w:rFonts w:hint="eastAsia"/>
                      <w:color w:val="auto"/>
                      <w:szCs w:val="21"/>
                    </w:rPr>
                    <w:t>1</w:t>
                  </w:r>
                </w:p>
              </w:tc>
              <w:tc>
                <w:tcPr>
                  <w:tcW w:w="1257" w:type="dxa"/>
                  <w:vAlign w:val="center"/>
                </w:tcPr>
                <w:p>
                  <w:pPr>
                    <w:jc w:val="center"/>
                    <w:rPr>
                      <w:color w:val="auto"/>
                      <w:szCs w:val="21"/>
                    </w:rPr>
                  </w:pPr>
                  <w:r>
                    <w:rPr>
                      <w:rFonts w:hint="eastAsia"/>
                      <w:color w:val="auto"/>
                      <w:szCs w:val="21"/>
                    </w:rPr>
                    <w:t>乙醇</w:t>
                  </w:r>
                </w:p>
              </w:tc>
              <w:tc>
                <w:tcPr>
                  <w:tcW w:w="1257" w:type="dxa"/>
                  <w:vAlign w:val="center"/>
                </w:tcPr>
                <w:p>
                  <w:pPr>
                    <w:jc w:val="center"/>
                    <w:rPr>
                      <w:color w:val="auto"/>
                      <w:szCs w:val="21"/>
                    </w:rPr>
                  </w:pPr>
                  <w:r>
                    <w:rPr>
                      <w:rFonts w:hint="eastAsia"/>
                      <w:color w:val="auto"/>
                      <w:szCs w:val="21"/>
                    </w:rPr>
                    <w:t>95%酒精</w:t>
                  </w:r>
                </w:p>
              </w:tc>
              <w:tc>
                <w:tcPr>
                  <w:tcW w:w="1257" w:type="dxa"/>
                  <w:vAlign w:val="center"/>
                </w:tcPr>
                <w:p>
                  <w:pPr>
                    <w:jc w:val="center"/>
                    <w:rPr>
                      <w:color w:val="auto"/>
                      <w:szCs w:val="21"/>
                    </w:rPr>
                  </w:pPr>
                  <w:r>
                    <w:rPr>
                      <w:rFonts w:hint="eastAsia"/>
                      <w:color w:val="auto"/>
                    </w:rPr>
                    <w:t>2L/瓶</w:t>
                  </w:r>
                </w:p>
              </w:tc>
              <w:tc>
                <w:tcPr>
                  <w:tcW w:w="1257" w:type="dxa"/>
                  <w:vAlign w:val="center"/>
                </w:tcPr>
                <w:p>
                  <w:pPr>
                    <w:jc w:val="center"/>
                    <w:rPr>
                      <w:color w:val="auto"/>
                      <w:szCs w:val="21"/>
                    </w:rPr>
                  </w:pPr>
                  <w:r>
                    <w:rPr>
                      <w:rFonts w:hint="eastAsia"/>
                      <w:color w:val="auto"/>
                      <w:szCs w:val="21"/>
                    </w:rPr>
                    <w:t>0.01</w:t>
                  </w:r>
                </w:p>
              </w:tc>
              <w:tc>
                <w:tcPr>
                  <w:tcW w:w="1257" w:type="dxa"/>
                  <w:vAlign w:val="center"/>
                </w:tcPr>
                <w:p>
                  <w:pPr>
                    <w:jc w:val="center"/>
                    <w:rPr>
                      <w:color w:val="auto"/>
                      <w:szCs w:val="21"/>
                    </w:rPr>
                  </w:pPr>
                  <w:r>
                    <w:rPr>
                      <w:rFonts w:hint="eastAsia"/>
                      <w:color w:val="auto"/>
                      <w:szCs w:val="21"/>
                    </w:rPr>
                    <w:t>0.01</w:t>
                  </w:r>
                </w:p>
              </w:tc>
              <w:tc>
                <w:tcPr>
                  <w:tcW w:w="1259" w:type="dxa"/>
                  <w:vAlign w:val="center"/>
                </w:tcPr>
                <w:p>
                  <w:pPr>
                    <w:jc w:val="center"/>
                    <w:rPr>
                      <w:color w:val="auto"/>
                      <w:szCs w:val="21"/>
                    </w:rPr>
                  </w:pPr>
                  <w:r>
                    <w:rPr>
                      <w:rFonts w:hint="eastAsia"/>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8" w:type="dxa"/>
                  <w:vAlign w:val="center"/>
                </w:tcPr>
                <w:p>
                  <w:pPr>
                    <w:jc w:val="center"/>
                    <w:rPr>
                      <w:color w:val="auto"/>
                      <w:szCs w:val="21"/>
                    </w:rPr>
                  </w:pPr>
                  <w:r>
                    <w:rPr>
                      <w:rFonts w:hint="eastAsia"/>
                      <w:color w:val="auto"/>
                      <w:szCs w:val="21"/>
                    </w:rPr>
                    <w:t>2</w:t>
                  </w:r>
                </w:p>
              </w:tc>
              <w:tc>
                <w:tcPr>
                  <w:tcW w:w="1257" w:type="dxa"/>
                  <w:vAlign w:val="center"/>
                </w:tcPr>
                <w:p>
                  <w:pPr>
                    <w:jc w:val="center"/>
                    <w:rPr>
                      <w:color w:val="auto"/>
                      <w:szCs w:val="21"/>
                    </w:rPr>
                  </w:pPr>
                  <w:r>
                    <w:rPr>
                      <w:rFonts w:hint="eastAsia"/>
                      <w:color w:val="auto"/>
                      <w:szCs w:val="21"/>
                    </w:rPr>
                    <w:t>柴油</w:t>
                  </w:r>
                </w:p>
              </w:tc>
              <w:tc>
                <w:tcPr>
                  <w:tcW w:w="1257" w:type="dxa"/>
                  <w:vAlign w:val="center"/>
                </w:tcPr>
                <w:p>
                  <w:pPr>
                    <w:jc w:val="center"/>
                    <w:rPr>
                      <w:color w:val="auto"/>
                      <w:szCs w:val="21"/>
                    </w:rPr>
                  </w:pPr>
                  <w:r>
                    <w:rPr>
                      <w:rFonts w:hint="eastAsia"/>
                      <w:color w:val="auto"/>
                    </w:rPr>
                    <w:t>0#柴油</w:t>
                  </w:r>
                </w:p>
              </w:tc>
              <w:tc>
                <w:tcPr>
                  <w:tcW w:w="1257" w:type="dxa"/>
                  <w:vAlign w:val="center"/>
                </w:tcPr>
                <w:p>
                  <w:pPr>
                    <w:jc w:val="center"/>
                    <w:rPr>
                      <w:color w:val="auto"/>
                      <w:szCs w:val="21"/>
                    </w:rPr>
                  </w:pPr>
                  <w:r>
                    <w:rPr>
                      <w:rFonts w:hint="eastAsia"/>
                      <w:color w:val="auto"/>
                    </w:rPr>
                    <w:t>25L/桶</w:t>
                  </w:r>
                </w:p>
              </w:tc>
              <w:tc>
                <w:tcPr>
                  <w:tcW w:w="1257" w:type="dxa"/>
                  <w:vAlign w:val="center"/>
                </w:tcPr>
                <w:p>
                  <w:pPr>
                    <w:jc w:val="center"/>
                    <w:rPr>
                      <w:color w:val="auto"/>
                      <w:szCs w:val="21"/>
                    </w:rPr>
                  </w:pPr>
                  <w:r>
                    <w:rPr>
                      <w:rFonts w:hint="eastAsia"/>
                      <w:color w:val="auto"/>
                      <w:szCs w:val="21"/>
                    </w:rPr>
                    <w:t>2</w:t>
                  </w:r>
                </w:p>
              </w:tc>
              <w:tc>
                <w:tcPr>
                  <w:tcW w:w="1257" w:type="dxa"/>
                  <w:vAlign w:val="center"/>
                </w:tcPr>
                <w:p>
                  <w:pPr>
                    <w:jc w:val="center"/>
                    <w:rPr>
                      <w:color w:val="auto"/>
                      <w:szCs w:val="21"/>
                    </w:rPr>
                  </w:pPr>
                  <w:r>
                    <w:rPr>
                      <w:rFonts w:hint="eastAsia"/>
                      <w:color w:val="auto"/>
                      <w:szCs w:val="21"/>
                    </w:rPr>
                    <w:t>2</w:t>
                  </w:r>
                </w:p>
              </w:tc>
              <w:tc>
                <w:tcPr>
                  <w:tcW w:w="1259" w:type="dxa"/>
                  <w:vAlign w:val="center"/>
                </w:tcPr>
                <w:p>
                  <w:pPr>
                    <w:jc w:val="center"/>
                    <w:rPr>
                      <w:color w:val="auto"/>
                      <w:szCs w:val="21"/>
                    </w:rPr>
                  </w:pPr>
                  <w:r>
                    <w:rPr>
                      <w:rFonts w:hint="eastAsia"/>
                      <w:color w:val="auto"/>
                      <w:szCs w:val="21"/>
                    </w:rPr>
                    <w:t>2</w:t>
                  </w:r>
                </w:p>
              </w:tc>
            </w:tr>
          </w:tbl>
          <w:p>
            <w:pPr>
              <w:pStyle w:val="46"/>
              <w:spacing w:after="0" w:line="240" w:lineRule="auto"/>
              <w:ind w:left="0" w:leftChars="0"/>
              <w:rPr>
                <w:rFonts w:ascii="Times New Roman" w:hAnsi="Times New Roman" w:cs="Times New Roman"/>
                <w:b/>
                <w:bCs/>
                <w:color w:val="auto"/>
                <w:sz w:val="21"/>
                <w:szCs w:val="21"/>
              </w:rPr>
            </w:pPr>
            <w:r>
              <w:rPr>
                <w:rFonts w:ascii="Times New Roman" w:hAnsi="Times New Roman" w:cs="Times New Roman"/>
                <w:b/>
                <w:bCs/>
                <w:color w:val="auto"/>
                <w:sz w:val="21"/>
                <w:szCs w:val="21"/>
              </w:rPr>
              <w:t>表2-</w:t>
            </w:r>
            <w:r>
              <w:rPr>
                <w:rFonts w:hint="eastAsia" w:ascii="Times New Roman" w:hAnsi="Times New Roman" w:cs="Times New Roman"/>
                <w:b/>
                <w:bCs/>
                <w:color w:val="auto"/>
                <w:sz w:val="21"/>
                <w:szCs w:val="21"/>
              </w:rPr>
              <w:t>7仓库存储能分析表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5"/>
              <w:gridCol w:w="329"/>
              <w:gridCol w:w="816"/>
              <w:gridCol w:w="1082"/>
              <w:gridCol w:w="1317"/>
              <w:gridCol w:w="1144"/>
              <w:gridCol w:w="1317"/>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875" w:type="dxa"/>
                  <w:noWrap/>
                  <w:vAlign w:val="center"/>
                </w:tcPr>
                <w:p>
                  <w:pPr>
                    <w:autoSpaceDE w:val="0"/>
                    <w:autoSpaceDN w:val="0"/>
                    <w:adjustRightInd w:val="0"/>
                    <w:snapToGrid w:val="0"/>
                    <w:jc w:val="center"/>
                    <w:rPr>
                      <w:color w:val="auto"/>
                      <w:szCs w:val="21"/>
                    </w:rPr>
                  </w:pPr>
                  <w:r>
                    <w:rPr>
                      <w:color w:val="auto"/>
                      <w:szCs w:val="21"/>
                    </w:rPr>
                    <w:t>建筑物名称</w:t>
                  </w:r>
                </w:p>
              </w:tc>
              <w:tc>
                <w:tcPr>
                  <w:tcW w:w="329" w:type="dxa"/>
                  <w:noWrap/>
                  <w:vAlign w:val="center"/>
                </w:tcPr>
                <w:p>
                  <w:pPr>
                    <w:autoSpaceDE w:val="0"/>
                    <w:autoSpaceDN w:val="0"/>
                    <w:adjustRightInd w:val="0"/>
                    <w:snapToGrid w:val="0"/>
                    <w:jc w:val="center"/>
                    <w:rPr>
                      <w:color w:val="auto"/>
                      <w:szCs w:val="21"/>
                    </w:rPr>
                  </w:pPr>
                  <w:r>
                    <w:rPr>
                      <w:rFonts w:hint="eastAsia"/>
                      <w:color w:val="auto"/>
                      <w:szCs w:val="21"/>
                    </w:rPr>
                    <w:t>名称</w:t>
                  </w:r>
                </w:p>
              </w:tc>
              <w:tc>
                <w:tcPr>
                  <w:tcW w:w="816" w:type="dxa"/>
                  <w:noWrap/>
                  <w:vAlign w:val="center"/>
                </w:tcPr>
                <w:p>
                  <w:pPr>
                    <w:autoSpaceDE w:val="0"/>
                    <w:autoSpaceDN w:val="0"/>
                    <w:adjustRightInd w:val="0"/>
                    <w:snapToGrid w:val="0"/>
                    <w:jc w:val="center"/>
                    <w:rPr>
                      <w:color w:val="auto"/>
                      <w:szCs w:val="21"/>
                    </w:rPr>
                  </w:pPr>
                  <w:r>
                    <w:rPr>
                      <w:rFonts w:hint="eastAsia"/>
                      <w:color w:val="auto"/>
                      <w:szCs w:val="21"/>
                    </w:rPr>
                    <w:t>产生量（t）</w:t>
                  </w:r>
                </w:p>
              </w:tc>
              <w:tc>
                <w:tcPr>
                  <w:tcW w:w="1082" w:type="dxa"/>
                  <w:noWrap/>
                  <w:vAlign w:val="center"/>
                </w:tcPr>
                <w:p>
                  <w:pPr>
                    <w:autoSpaceDE w:val="0"/>
                    <w:autoSpaceDN w:val="0"/>
                    <w:adjustRightInd w:val="0"/>
                    <w:snapToGrid w:val="0"/>
                    <w:jc w:val="center"/>
                    <w:rPr>
                      <w:color w:val="auto"/>
                      <w:szCs w:val="21"/>
                    </w:rPr>
                  </w:pPr>
                  <w:r>
                    <w:rPr>
                      <w:rFonts w:hint="eastAsia"/>
                      <w:color w:val="auto"/>
                      <w:szCs w:val="21"/>
                    </w:rPr>
                    <w:t>最大储存量（t）</w:t>
                  </w:r>
                </w:p>
              </w:tc>
              <w:tc>
                <w:tcPr>
                  <w:tcW w:w="1317" w:type="dxa"/>
                  <w:noWrap/>
                  <w:vAlign w:val="center"/>
                </w:tcPr>
                <w:p>
                  <w:pPr>
                    <w:autoSpaceDE w:val="0"/>
                    <w:autoSpaceDN w:val="0"/>
                    <w:adjustRightInd w:val="0"/>
                    <w:snapToGrid w:val="0"/>
                    <w:jc w:val="center"/>
                    <w:rPr>
                      <w:color w:val="auto"/>
                      <w:szCs w:val="21"/>
                    </w:rPr>
                  </w:pPr>
                  <w:r>
                    <w:rPr>
                      <w:rFonts w:hint="eastAsia"/>
                      <w:color w:val="auto"/>
                      <w:szCs w:val="21"/>
                    </w:rPr>
                    <w:t>最大占地面积（m</w:t>
                  </w:r>
                  <w:r>
                    <w:rPr>
                      <w:rFonts w:hint="eastAsia"/>
                      <w:color w:val="auto"/>
                      <w:szCs w:val="21"/>
                      <w:vertAlign w:val="superscript"/>
                    </w:rPr>
                    <w:t>2</w:t>
                  </w:r>
                  <w:r>
                    <w:rPr>
                      <w:rFonts w:hint="eastAsia"/>
                      <w:color w:val="auto"/>
                      <w:szCs w:val="21"/>
                    </w:rPr>
                    <w:t>）</w:t>
                  </w:r>
                </w:p>
              </w:tc>
              <w:tc>
                <w:tcPr>
                  <w:tcW w:w="1144" w:type="dxa"/>
                  <w:noWrap/>
                  <w:vAlign w:val="center"/>
                </w:tcPr>
                <w:p>
                  <w:pPr>
                    <w:autoSpaceDE w:val="0"/>
                    <w:autoSpaceDN w:val="0"/>
                    <w:adjustRightInd w:val="0"/>
                    <w:snapToGrid w:val="0"/>
                    <w:jc w:val="center"/>
                    <w:rPr>
                      <w:color w:val="auto"/>
                      <w:szCs w:val="21"/>
                    </w:rPr>
                  </w:pPr>
                  <w:r>
                    <w:rPr>
                      <w:rFonts w:hint="eastAsia"/>
                      <w:color w:val="auto"/>
                      <w:szCs w:val="21"/>
                    </w:rPr>
                    <w:t>仓库存储能力（t）</w:t>
                  </w:r>
                </w:p>
              </w:tc>
              <w:tc>
                <w:tcPr>
                  <w:tcW w:w="1317" w:type="dxa"/>
                  <w:noWrap/>
                  <w:vAlign w:val="center"/>
                </w:tcPr>
                <w:p>
                  <w:pPr>
                    <w:autoSpaceDE w:val="0"/>
                    <w:autoSpaceDN w:val="0"/>
                    <w:adjustRightInd w:val="0"/>
                    <w:snapToGrid w:val="0"/>
                    <w:jc w:val="center"/>
                    <w:rPr>
                      <w:color w:val="auto"/>
                      <w:szCs w:val="21"/>
                    </w:rPr>
                  </w:pPr>
                  <w:r>
                    <w:rPr>
                      <w:rFonts w:hint="eastAsia"/>
                      <w:color w:val="auto"/>
                      <w:szCs w:val="21"/>
                    </w:rPr>
                    <w:t>仓库占地面积（m</w:t>
                  </w:r>
                  <w:r>
                    <w:rPr>
                      <w:rFonts w:hint="eastAsia"/>
                      <w:color w:val="auto"/>
                      <w:szCs w:val="21"/>
                      <w:vertAlign w:val="superscript"/>
                    </w:rPr>
                    <w:t>2</w:t>
                  </w:r>
                  <w:r>
                    <w:rPr>
                      <w:rFonts w:hint="eastAsia"/>
                      <w:color w:val="auto"/>
                      <w:szCs w:val="21"/>
                    </w:rPr>
                    <w:t>）</w:t>
                  </w:r>
                </w:p>
              </w:tc>
              <w:tc>
                <w:tcPr>
                  <w:tcW w:w="1630" w:type="dxa"/>
                  <w:noWrap/>
                  <w:vAlign w:val="center"/>
                </w:tcPr>
                <w:p>
                  <w:pPr>
                    <w:autoSpaceDE w:val="0"/>
                    <w:autoSpaceDN w:val="0"/>
                    <w:adjustRightInd w:val="0"/>
                    <w:snapToGrid w:val="0"/>
                    <w:jc w:val="center"/>
                    <w:rPr>
                      <w:color w:val="auto"/>
                      <w:szCs w:val="21"/>
                    </w:rPr>
                  </w:pPr>
                  <w:r>
                    <w:rPr>
                      <w:rFonts w:hint="eastAsia"/>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875" w:type="dxa"/>
                  <w:vMerge w:val="restart"/>
                  <w:noWrap/>
                  <w:vAlign w:val="center"/>
                </w:tcPr>
                <w:p>
                  <w:pPr>
                    <w:autoSpaceDE w:val="0"/>
                    <w:autoSpaceDN w:val="0"/>
                    <w:adjustRightInd w:val="0"/>
                    <w:snapToGrid w:val="0"/>
                    <w:jc w:val="center"/>
                    <w:rPr>
                      <w:color w:val="auto"/>
                      <w:szCs w:val="21"/>
                    </w:rPr>
                  </w:pPr>
                  <w:r>
                    <w:rPr>
                      <w:rFonts w:hint="eastAsia"/>
                      <w:color w:val="auto"/>
                      <w:szCs w:val="21"/>
                    </w:rPr>
                    <w:t>危险化学品仓库</w:t>
                  </w:r>
                </w:p>
              </w:tc>
              <w:tc>
                <w:tcPr>
                  <w:tcW w:w="329" w:type="dxa"/>
                  <w:noWrap/>
                  <w:vAlign w:val="center"/>
                </w:tcPr>
                <w:p>
                  <w:pPr>
                    <w:autoSpaceDE w:val="0"/>
                    <w:autoSpaceDN w:val="0"/>
                    <w:adjustRightInd w:val="0"/>
                    <w:snapToGrid w:val="0"/>
                    <w:jc w:val="center"/>
                    <w:rPr>
                      <w:color w:val="auto"/>
                      <w:szCs w:val="21"/>
                    </w:rPr>
                  </w:pPr>
                  <w:r>
                    <w:rPr>
                      <w:rFonts w:hint="eastAsia"/>
                      <w:color w:val="auto"/>
                      <w:szCs w:val="21"/>
                    </w:rPr>
                    <w:t>乙醇</w:t>
                  </w:r>
                </w:p>
              </w:tc>
              <w:tc>
                <w:tcPr>
                  <w:tcW w:w="816" w:type="dxa"/>
                  <w:noWrap/>
                  <w:vAlign w:val="center"/>
                </w:tcPr>
                <w:p>
                  <w:pPr>
                    <w:autoSpaceDE w:val="0"/>
                    <w:autoSpaceDN w:val="0"/>
                    <w:adjustRightInd w:val="0"/>
                    <w:snapToGrid w:val="0"/>
                    <w:jc w:val="center"/>
                    <w:rPr>
                      <w:color w:val="auto"/>
                      <w:szCs w:val="21"/>
                    </w:rPr>
                  </w:pPr>
                  <w:r>
                    <w:rPr>
                      <w:rFonts w:hint="eastAsia"/>
                      <w:color w:val="auto"/>
                      <w:szCs w:val="21"/>
                    </w:rPr>
                    <w:t>0.01</w:t>
                  </w:r>
                </w:p>
              </w:tc>
              <w:tc>
                <w:tcPr>
                  <w:tcW w:w="1082" w:type="dxa"/>
                  <w:noWrap/>
                  <w:vAlign w:val="center"/>
                </w:tcPr>
                <w:p>
                  <w:pPr>
                    <w:autoSpaceDE w:val="0"/>
                    <w:autoSpaceDN w:val="0"/>
                    <w:adjustRightInd w:val="0"/>
                    <w:snapToGrid w:val="0"/>
                    <w:jc w:val="center"/>
                    <w:rPr>
                      <w:color w:val="auto"/>
                      <w:szCs w:val="21"/>
                    </w:rPr>
                  </w:pPr>
                  <w:r>
                    <w:rPr>
                      <w:rFonts w:hint="eastAsia"/>
                      <w:color w:val="auto"/>
                      <w:szCs w:val="21"/>
                    </w:rPr>
                    <w:t>0.01</w:t>
                  </w:r>
                </w:p>
              </w:tc>
              <w:tc>
                <w:tcPr>
                  <w:tcW w:w="1317" w:type="dxa"/>
                  <w:noWrap/>
                  <w:vAlign w:val="center"/>
                </w:tcPr>
                <w:p>
                  <w:pPr>
                    <w:autoSpaceDE w:val="0"/>
                    <w:autoSpaceDN w:val="0"/>
                    <w:adjustRightInd w:val="0"/>
                    <w:snapToGrid w:val="0"/>
                    <w:jc w:val="center"/>
                    <w:rPr>
                      <w:color w:val="auto"/>
                      <w:szCs w:val="21"/>
                    </w:rPr>
                  </w:pPr>
                  <w:r>
                    <w:rPr>
                      <w:rFonts w:hint="eastAsia"/>
                      <w:color w:val="auto"/>
                      <w:szCs w:val="21"/>
                    </w:rPr>
                    <w:t>5</w:t>
                  </w:r>
                </w:p>
              </w:tc>
              <w:tc>
                <w:tcPr>
                  <w:tcW w:w="1144" w:type="dxa"/>
                  <w:vMerge w:val="restart"/>
                  <w:noWrap/>
                  <w:vAlign w:val="center"/>
                </w:tcPr>
                <w:p>
                  <w:pPr>
                    <w:autoSpaceDE w:val="0"/>
                    <w:autoSpaceDN w:val="0"/>
                    <w:adjustRightInd w:val="0"/>
                    <w:snapToGrid w:val="0"/>
                    <w:jc w:val="center"/>
                    <w:rPr>
                      <w:color w:val="auto"/>
                      <w:szCs w:val="21"/>
                    </w:rPr>
                  </w:pPr>
                  <w:r>
                    <w:rPr>
                      <w:rFonts w:hint="eastAsia"/>
                      <w:color w:val="auto"/>
                      <w:szCs w:val="21"/>
                    </w:rPr>
                    <w:t>145</w:t>
                  </w:r>
                </w:p>
              </w:tc>
              <w:tc>
                <w:tcPr>
                  <w:tcW w:w="1317" w:type="dxa"/>
                  <w:vMerge w:val="restart"/>
                  <w:noWrap/>
                  <w:vAlign w:val="center"/>
                </w:tcPr>
                <w:p>
                  <w:pPr>
                    <w:autoSpaceDE w:val="0"/>
                    <w:autoSpaceDN w:val="0"/>
                    <w:adjustRightInd w:val="0"/>
                    <w:snapToGrid w:val="0"/>
                    <w:jc w:val="center"/>
                    <w:rPr>
                      <w:color w:val="auto"/>
                      <w:szCs w:val="21"/>
                    </w:rPr>
                  </w:pPr>
                  <w:r>
                    <w:rPr>
                      <w:rFonts w:hint="eastAsia"/>
                      <w:color w:val="auto"/>
                      <w:szCs w:val="21"/>
                    </w:rPr>
                    <w:t>179.25</w:t>
                  </w:r>
                </w:p>
              </w:tc>
              <w:tc>
                <w:tcPr>
                  <w:tcW w:w="1630" w:type="dxa"/>
                  <w:noWrap/>
                  <w:vAlign w:val="center"/>
                </w:tcPr>
                <w:p>
                  <w:pPr>
                    <w:autoSpaceDE w:val="0"/>
                    <w:autoSpaceDN w:val="0"/>
                    <w:adjustRightInd w:val="0"/>
                    <w:snapToGrid w:val="0"/>
                    <w:jc w:val="center"/>
                    <w:rPr>
                      <w:color w:val="auto"/>
                      <w:szCs w:val="21"/>
                    </w:rPr>
                  </w:pPr>
                  <w:r>
                    <w:rPr>
                      <w:rFonts w:hint="eastAsia"/>
                      <w:color w:val="auto"/>
                      <w:szCs w:val="21"/>
                    </w:rPr>
                    <w:t>用于擦拭工作台、设备等清洁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875" w:type="dxa"/>
                  <w:vMerge w:val="continue"/>
                  <w:noWrap/>
                  <w:vAlign w:val="center"/>
                </w:tcPr>
                <w:p>
                  <w:pPr>
                    <w:autoSpaceDE w:val="0"/>
                    <w:autoSpaceDN w:val="0"/>
                    <w:adjustRightInd w:val="0"/>
                    <w:snapToGrid w:val="0"/>
                    <w:jc w:val="center"/>
                    <w:rPr>
                      <w:color w:val="auto"/>
                      <w:szCs w:val="21"/>
                    </w:rPr>
                  </w:pPr>
                </w:p>
              </w:tc>
              <w:tc>
                <w:tcPr>
                  <w:tcW w:w="329" w:type="dxa"/>
                  <w:noWrap/>
                  <w:vAlign w:val="center"/>
                </w:tcPr>
                <w:p>
                  <w:pPr>
                    <w:autoSpaceDE w:val="0"/>
                    <w:autoSpaceDN w:val="0"/>
                    <w:adjustRightInd w:val="0"/>
                    <w:snapToGrid w:val="0"/>
                    <w:jc w:val="center"/>
                    <w:rPr>
                      <w:color w:val="auto"/>
                      <w:szCs w:val="21"/>
                    </w:rPr>
                  </w:pPr>
                  <w:r>
                    <w:rPr>
                      <w:rFonts w:hint="eastAsia"/>
                      <w:color w:val="auto"/>
                      <w:szCs w:val="21"/>
                    </w:rPr>
                    <w:t>柴油</w:t>
                  </w:r>
                </w:p>
              </w:tc>
              <w:tc>
                <w:tcPr>
                  <w:tcW w:w="816" w:type="dxa"/>
                  <w:noWrap/>
                  <w:vAlign w:val="center"/>
                </w:tcPr>
                <w:p>
                  <w:pPr>
                    <w:autoSpaceDE w:val="0"/>
                    <w:autoSpaceDN w:val="0"/>
                    <w:adjustRightInd w:val="0"/>
                    <w:snapToGrid w:val="0"/>
                    <w:jc w:val="center"/>
                    <w:rPr>
                      <w:color w:val="auto"/>
                      <w:szCs w:val="21"/>
                    </w:rPr>
                  </w:pPr>
                  <w:r>
                    <w:rPr>
                      <w:rFonts w:hint="eastAsia"/>
                      <w:color w:val="auto"/>
                      <w:szCs w:val="21"/>
                    </w:rPr>
                    <w:t>2</w:t>
                  </w:r>
                </w:p>
              </w:tc>
              <w:tc>
                <w:tcPr>
                  <w:tcW w:w="1082" w:type="dxa"/>
                  <w:noWrap/>
                  <w:vAlign w:val="center"/>
                </w:tcPr>
                <w:p>
                  <w:pPr>
                    <w:autoSpaceDE w:val="0"/>
                    <w:autoSpaceDN w:val="0"/>
                    <w:adjustRightInd w:val="0"/>
                    <w:snapToGrid w:val="0"/>
                    <w:jc w:val="center"/>
                    <w:rPr>
                      <w:color w:val="auto"/>
                      <w:szCs w:val="21"/>
                    </w:rPr>
                  </w:pPr>
                  <w:r>
                    <w:rPr>
                      <w:rFonts w:hint="eastAsia"/>
                      <w:color w:val="auto"/>
                      <w:szCs w:val="21"/>
                    </w:rPr>
                    <w:t>2</w:t>
                  </w:r>
                </w:p>
              </w:tc>
              <w:tc>
                <w:tcPr>
                  <w:tcW w:w="1317" w:type="dxa"/>
                  <w:noWrap/>
                  <w:vAlign w:val="center"/>
                </w:tcPr>
                <w:p>
                  <w:pPr>
                    <w:autoSpaceDE w:val="0"/>
                    <w:autoSpaceDN w:val="0"/>
                    <w:adjustRightInd w:val="0"/>
                    <w:snapToGrid w:val="0"/>
                    <w:jc w:val="center"/>
                    <w:rPr>
                      <w:color w:val="auto"/>
                      <w:szCs w:val="21"/>
                    </w:rPr>
                  </w:pPr>
                  <w:r>
                    <w:rPr>
                      <w:rFonts w:hint="eastAsia"/>
                      <w:color w:val="auto"/>
                      <w:szCs w:val="21"/>
                    </w:rPr>
                    <w:t>5</w:t>
                  </w:r>
                </w:p>
              </w:tc>
              <w:tc>
                <w:tcPr>
                  <w:tcW w:w="1144" w:type="dxa"/>
                  <w:vMerge w:val="continue"/>
                  <w:noWrap/>
                  <w:vAlign w:val="center"/>
                </w:tcPr>
                <w:p>
                  <w:pPr>
                    <w:autoSpaceDE w:val="0"/>
                    <w:autoSpaceDN w:val="0"/>
                    <w:adjustRightInd w:val="0"/>
                    <w:snapToGrid w:val="0"/>
                    <w:jc w:val="center"/>
                    <w:rPr>
                      <w:color w:val="auto"/>
                      <w:szCs w:val="21"/>
                    </w:rPr>
                  </w:pPr>
                </w:p>
              </w:tc>
              <w:tc>
                <w:tcPr>
                  <w:tcW w:w="1317" w:type="dxa"/>
                  <w:vMerge w:val="continue"/>
                  <w:noWrap/>
                  <w:vAlign w:val="center"/>
                </w:tcPr>
                <w:p>
                  <w:pPr>
                    <w:autoSpaceDE w:val="0"/>
                    <w:autoSpaceDN w:val="0"/>
                    <w:adjustRightInd w:val="0"/>
                    <w:snapToGrid w:val="0"/>
                    <w:jc w:val="center"/>
                    <w:rPr>
                      <w:color w:val="auto"/>
                      <w:szCs w:val="21"/>
                    </w:rPr>
                  </w:pPr>
                </w:p>
              </w:tc>
              <w:tc>
                <w:tcPr>
                  <w:tcW w:w="1630" w:type="dxa"/>
                  <w:noWrap/>
                  <w:vAlign w:val="center"/>
                </w:tcPr>
                <w:p>
                  <w:pPr>
                    <w:autoSpaceDE w:val="0"/>
                    <w:autoSpaceDN w:val="0"/>
                    <w:adjustRightInd w:val="0"/>
                    <w:snapToGrid w:val="0"/>
                    <w:jc w:val="center"/>
                    <w:rPr>
                      <w:color w:val="auto"/>
                      <w:szCs w:val="21"/>
                    </w:rPr>
                  </w:pPr>
                  <w:r>
                    <w:rPr>
                      <w:rFonts w:hint="eastAsia"/>
                      <w:color w:val="auto"/>
                      <w:szCs w:val="21"/>
                    </w:rPr>
                    <w:t>用于柴油发电机发电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2020" w:type="dxa"/>
                  <w:gridSpan w:val="3"/>
                  <w:noWrap/>
                  <w:vAlign w:val="center"/>
                </w:tcPr>
                <w:p>
                  <w:pPr>
                    <w:autoSpaceDE w:val="0"/>
                    <w:autoSpaceDN w:val="0"/>
                    <w:adjustRightInd w:val="0"/>
                    <w:snapToGrid w:val="0"/>
                    <w:jc w:val="center"/>
                    <w:rPr>
                      <w:color w:val="auto"/>
                      <w:szCs w:val="21"/>
                    </w:rPr>
                  </w:pPr>
                  <w:r>
                    <w:rPr>
                      <w:rFonts w:hint="eastAsia"/>
                      <w:color w:val="auto"/>
                      <w:szCs w:val="21"/>
                    </w:rPr>
                    <w:t>合计</w:t>
                  </w:r>
                </w:p>
              </w:tc>
              <w:tc>
                <w:tcPr>
                  <w:tcW w:w="1082" w:type="dxa"/>
                  <w:noWrap/>
                  <w:vAlign w:val="center"/>
                </w:tcPr>
                <w:p>
                  <w:pPr>
                    <w:autoSpaceDE w:val="0"/>
                    <w:autoSpaceDN w:val="0"/>
                    <w:adjustRightInd w:val="0"/>
                    <w:snapToGrid w:val="0"/>
                    <w:jc w:val="center"/>
                    <w:rPr>
                      <w:color w:val="auto"/>
                      <w:szCs w:val="21"/>
                    </w:rPr>
                  </w:pPr>
                  <w:r>
                    <w:rPr>
                      <w:rFonts w:hint="eastAsia"/>
                      <w:color w:val="auto"/>
                      <w:szCs w:val="21"/>
                    </w:rPr>
                    <w:t>2.01</w:t>
                  </w:r>
                </w:p>
              </w:tc>
              <w:tc>
                <w:tcPr>
                  <w:tcW w:w="1317" w:type="dxa"/>
                  <w:noWrap/>
                  <w:vAlign w:val="center"/>
                </w:tcPr>
                <w:p>
                  <w:pPr>
                    <w:autoSpaceDE w:val="0"/>
                    <w:autoSpaceDN w:val="0"/>
                    <w:adjustRightInd w:val="0"/>
                    <w:snapToGrid w:val="0"/>
                    <w:jc w:val="center"/>
                    <w:rPr>
                      <w:color w:val="auto"/>
                      <w:szCs w:val="21"/>
                    </w:rPr>
                  </w:pPr>
                  <w:r>
                    <w:rPr>
                      <w:rFonts w:hint="eastAsia"/>
                      <w:color w:val="auto"/>
                      <w:szCs w:val="21"/>
                    </w:rPr>
                    <w:t>10</w:t>
                  </w:r>
                </w:p>
              </w:tc>
              <w:tc>
                <w:tcPr>
                  <w:tcW w:w="1144" w:type="dxa"/>
                  <w:vMerge w:val="continue"/>
                  <w:noWrap/>
                  <w:vAlign w:val="center"/>
                </w:tcPr>
                <w:p>
                  <w:pPr>
                    <w:autoSpaceDE w:val="0"/>
                    <w:autoSpaceDN w:val="0"/>
                    <w:adjustRightInd w:val="0"/>
                    <w:snapToGrid w:val="0"/>
                    <w:jc w:val="center"/>
                    <w:rPr>
                      <w:color w:val="auto"/>
                      <w:szCs w:val="21"/>
                    </w:rPr>
                  </w:pPr>
                </w:p>
              </w:tc>
              <w:tc>
                <w:tcPr>
                  <w:tcW w:w="1317" w:type="dxa"/>
                  <w:vMerge w:val="continue"/>
                  <w:noWrap/>
                  <w:vAlign w:val="center"/>
                </w:tcPr>
                <w:p>
                  <w:pPr>
                    <w:autoSpaceDE w:val="0"/>
                    <w:autoSpaceDN w:val="0"/>
                    <w:adjustRightInd w:val="0"/>
                    <w:snapToGrid w:val="0"/>
                    <w:jc w:val="center"/>
                    <w:rPr>
                      <w:color w:val="auto"/>
                      <w:szCs w:val="21"/>
                    </w:rPr>
                  </w:pPr>
                </w:p>
              </w:tc>
              <w:tc>
                <w:tcPr>
                  <w:tcW w:w="1630" w:type="dxa"/>
                  <w:noWrap/>
                  <w:vAlign w:val="center"/>
                </w:tcPr>
                <w:p>
                  <w:pPr>
                    <w:autoSpaceDE w:val="0"/>
                    <w:autoSpaceDN w:val="0"/>
                    <w:adjustRightInd w:val="0"/>
                    <w:snapToGrid w:val="0"/>
                    <w:jc w:val="center"/>
                    <w:rPr>
                      <w:color w:val="auto"/>
                      <w:szCs w:val="21"/>
                    </w:rPr>
                  </w:pPr>
                  <w:r>
                    <w:rPr>
                      <w:rFonts w:hint="eastAsia"/>
                      <w:color w:val="auto"/>
                      <w:szCs w:val="21"/>
                    </w:rPr>
                    <w:t>/</w:t>
                  </w:r>
                </w:p>
              </w:tc>
            </w:tr>
          </w:tbl>
          <w:p>
            <w:pPr>
              <w:pStyle w:val="46"/>
              <w:snapToGrid w:val="0"/>
              <w:spacing w:after="0" w:line="360" w:lineRule="auto"/>
              <w:ind w:left="0" w:leftChars="0" w:firstLine="480" w:firstLineChars="200"/>
              <w:jc w:val="both"/>
              <w:rPr>
                <w:rFonts w:ascii="Times New Roman" w:hAnsi="Times New Roman" w:cs="Times New Roman"/>
                <w:bCs/>
                <w:color w:val="auto"/>
                <w:kern w:val="0"/>
                <w:szCs w:val="24"/>
              </w:rPr>
            </w:pPr>
            <w:r>
              <w:rPr>
                <w:rFonts w:hint="eastAsia" w:ascii="Times New Roman" w:hAnsi="Times New Roman" w:cs="Times New Roman"/>
                <w:color w:val="auto"/>
                <w:szCs w:val="18"/>
              </w:rPr>
              <w:t>本项目危险化学品仓库用于储存乙醇、柴油。乙醇、柴油最大占地面积合计10m</w:t>
            </w:r>
            <w:r>
              <w:rPr>
                <w:rFonts w:hint="eastAsia" w:ascii="Times New Roman" w:hAnsi="Times New Roman" w:cs="Times New Roman"/>
                <w:color w:val="auto"/>
                <w:szCs w:val="18"/>
                <w:vertAlign w:val="superscript"/>
              </w:rPr>
              <w:t>2</w:t>
            </w:r>
            <w:r>
              <w:rPr>
                <w:rFonts w:hint="eastAsia" w:ascii="Times New Roman" w:hAnsi="Times New Roman" w:cs="Times New Roman"/>
                <w:color w:val="auto"/>
                <w:szCs w:val="18"/>
              </w:rPr>
              <w:t>，危险化学品占地面积179.25m</w:t>
            </w:r>
            <w:r>
              <w:rPr>
                <w:rFonts w:hint="eastAsia" w:ascii="Times New Roman" w:hAnsi="Times New Roman" w:cs="Times New Roman"/>
                <w:color w:val="auto"/>
                <w:szCs w:val="18"/>
                <w:vertAlign w:val="superscript"/>
              </w:rPr>
              <w:t>2</w:t>
            </w:r>
            <w:r>
              <w:rPr>
                <w:rFonts w:hint="eastAsia" w:ascii="Times New Roman" w:hAnsi="Times New Roman" w:cs="Times New Roman"/>
                <w:color w:val="auto"/>
                <w:szCs w:val="18"/>
              </w:rPr>
              <w:t>，富余面积169.25m</w:t>
            </w:r>
            <w:r>
              <w:rPr>
                <w:rFonts w:hint="eastAsia" w:ascii="Times New Roman" w:hAnsi="Times New Roman" w:cs="Times New Roman"/>
                <w:color w:val="auto"/>
                <w:szCs w:val="18"/>
                <w:vertAlign w:val="superscript"/>
              </w:rPr>
              <w:t>2</w:t>
            </w:r>
            <w:r>
              <w:rPr>
                <w:rFonts w:hint="eastAsia" w:ascii="Times New Roman" w:hAnsi="Times New Roman" w:cs="Times New Roman"/>
                <w:color w:val="auto"/>
                <w:szCs w:val="18"/>
              </w:rPr>
              <w:t>作为过道；乙醇、柴油最大储存量合计2.01t，危险化学品仓库最大储存量145t，富余储存量约142.99t，占地面积、</w:t>
            </w:r>
            <w:r>
              <w:rPr>
                <w:rFonts w:hint="eastAsia" w:ascii="Times New Roman" w:hAnsi="Times New Roman" w:cs="Times New Roman"/>
                <w:bCs/>
                <w:color w:val="auto"/>
                <w:kern w:val="0"/>
                <w:szCs w:val="24"/>
              </w:rPr>
              <w:t>储存能力能够满足建设单位需求。</w:t>
            </w:r>
          </w:p>
          <w:p>
            <w:pPr>
              <w:pStyle w:val="46"/>
              <w:snapToGrid w:val="0"/>
              <w:spacing w:after="0" w:line="360" w:lineRule="auto"/>
              <w:ind w:left="0" w:leftChars="0" w:firstLine="480" w:firstLineChars="200"/>
              <w:jc w:val="both"/>
              <w:rPr>
                <w:rFonts w:ascii="Times New Roman" w:hAnsi="Times New Roman" w:cs="Times New Roman"/>
                <w:bCs/>
                <w:color w:val="auto"/>
                <w:kern w:val="0"/>
                <w:szCs w:val="24"/>
              </w:rPr>
            </w:pPr>
            <w:r>
              <w:rPr>
                <w:rFonts w:ascii="Times New Roman" w:hAnsi="Times New Roman" w:cs="Times New Roman"/>
                <w:color w:val="auto"/>
                <w:szCs w:val="24"/>
              </w:rPr>
              <w:t>本次建设的</w:t>
            </w:r>
            <w:r>
              <w:rPr>
                <w:rFonts w:hint="eastAsia" w:ascii="Times New Roman" w:hAnsi="Times New Roman" w:cs="Times New Roman"/>
                <w:color w:val="auto"/>
                <w:szCs w:val="24"/>
              </w:rPr>
              <w:t>危险</w:t>
            </w:r>
            <w:r>
              <w:rPr>
                <w:rFonts w:ascii="Times New Roman" w:hAnsi="Times New Roman" w:cs="Times New Roman"/>
                <w:color w:val="auto"/>
                <w:szCs w:val="24"/>
              </w:rPr>
              <w:t>化学品仓库，考虑到后期项目的存放，所以建</w:t>
            </w:r>
            <w:r>
              <w:rPr>
                <w:rFonts w:hint="eastAsia" w:ascii="Times New Roman" w:hAnsi="Times New Roman" w:cs="Times New Roman"/>
                <w:color w:val="auto"/>
                <w:szCs w:val="24"/>
              </w:rPr>
              <w:t>设</w:t>
            </w:r>
            <w:r>
              <w:rPr>
                <w:rFonts w:ascii="Times New Roman" w:hAnsi="Times New Roman" w:cs="Times New Roman"/>
                <w:color w:val="auto"/>
                <w:szCs w:val="24"/>
              </w:rPr>
              <w:t>得比较大；</w:t>
            </w:r>
            <w:r>
              <w:rPr>
                <w:rFonts w:hint="eastAsia" w:ascii="Times New Roman" w:hAnsi="Times New Roman" w:cs="Times New Roman"/>
                <w:color w:val="auto"/>
                <w:szCs w:val="24"/>
              </w:rPr>
              <w:t>企业已</w:t>
            </w:r>
            <w:r>
              <w:rPr>
                <w:rFonts w:ascii="Times New Roman" w:hAnsi="Times New Roman" w:cs="Times New Roman"/>
                <w:color w:val="auto"/>
                <w:szCs w:val="24"/>
              </w:rPr>
              <w:t>承诺不租赁给其他企业使用</w:t>
            </w:r>
            <w:r>
              <w:rPr>
                <w:rFonts w:hint="eastAsia" w:ascii="Times New Roman" w:hAnsi="Times New Roman" w:cs="Times New Roman"/>
                <w:color w:val="auto"/>
                <w:szCs w:val="24"/>
              </w:rPr>
              <w:t>，</w:t>
            </w:r>
            <w:r>
              <w:rPr>
                <w:rFonts w:ascii="Times New Roman" w:hAnsi="Times New Roman" w:cs="Times New Roman"/>
                <w:color w:val="auto"/>
                <w:szCs w:val="24"/>
              </w:rPr>
              <w:t>若规划后期存放其他化学品，那本项目需重新论证可行性</w:t>
            </w:r>
            <w:r>
              <w:rPr>
                <w:rFonts w:hint="eastAsia" w:ascii="Times New Roman" w:hAnsi="Times New Roman" w:cs="Times New Roman"/>
                <w:color w:val="auto"/>
                <w:szCs w:val="24"/>
              </w:rPr>
              <w:t>，需要再做环境影响评价，承诺书详见附件11。</w:t>
            </w:r>
          </w:p>
          <w:p>
            <w:pPr>
              <w:pStyle w:val="2"/>
              <w:ind w:firstLine="482" w:firstLineChars="200"/>
              <w:rPr>
                <w:rFonts w:ascii="Times New Roman" w:hAnsi="Times New Roman"/>
                <w:b/>
                <w:bCs w:val="0"/>
                <w:color w:val="auto"/>
                <w:kern w:val="0"/>
                <w:sz w:val="24"/>
                <w:szCs w:val="24"/>
              </w:rPr>
            </w:pPr>
            <w:r>
              <w:rPr>
                <w:rFonts w:hint="eastAsia" w:ascii="Times New Roman" w:hAnsi="Times New Roman"/>
                <w:b/>
                <w:bCs w:val="0"/>
                <w:color w:val="auto"/>
                <w:kern w:val="0"/>
                <w:sz w:val="24"/>
                <w:szCs w:val="24"/>
              </w:rPr>
              <w:t>6、项目平面布置</w:t>
            </w:r>
          </w:p>
          <w:p>
            <w:pPr>
              <w:adjustRightInd w:val="0"/>
              <w:snapToGrid w:val="0"/>
              <w:spacing w:line="360" w:lineRule="auto"/>
              <w:ind w:firstLine="480" w:firstLineChars="200"/>
              <w:rPr>
                <w:b/>
                <w:bCs/>
                <w:color w:val="auto"/>
                <w:sz w:val="24"/>
              </w:rPr>
            </w:pPr>
            <w:r>
              <w:rPr>
                <w:color w:val="auto"/>
                <w:kern w:val="0"/>
                <w:sz w:val="24"/>
              </w:rPr>
              <w:t>本项目新建</w:t>
            </w:r>
            <w:r>
              <w:rPr>
                <w:rFonts w:hint="eastAsia"/>
                <w:color w:val="auto"/>
                <w:kern w:val="0"/>
                <w:sz w:val="24"/>
              </w:rPr>
              <w:t>危险化学品仓库</w:t>
            </w:r>
            <w:r>
              <w:rPr>
                <w:color w:val="auto"/>
                <w:kern w:val="0"/>
                <w:sz w:val="24"/>
              </w:rPr>
              <w:t>位于</w:t>
            </w:r>
            <w:r>
              <w:rPr>
                <w:rFonts w:hint="eastAsia"/>
                <w:color w:val="auto"/>
                <w:kern w:val="0"/>
                <w:sz w:val="24"/>
              </w:rPr>
              <w:t>朴华（苏州）康复科技有限公司</w:t>
            </w:r>
            <w:r>
              <w:rPr>
                <w:color w:val="auto"/>
                <w:kern w:val="0"/>
                <w:sz w:val="24"/>
              </w:rPr>
              <w:t>现有厂区内部空地，</w:t>
            </w:r>
            <w:r>
              <w:rPr>
                <w:rFonts w:hint="eastAsia"/>
                <w:color w:val="auto"/>
                <w:kern w:val="0"/>
                <w:sz w:val="24"/>
              </w:rPr>
              <w:t>朴华（苏州）康复科技有限公司北</w:t>
            </w:r>
            <w:r>
              <w:rPr>
                <w:color w:val="auto"/>
                <w:kern w:val="0"/>
                <w:sz w:val="24"/>
              </w:rPr>
              <w:t>侧为</w:t>
            </w:r>
            <w:r>
              <w:rPr>
                <w:rFonts w:hint="eastAsia"/>
                <w:color w:val="auto"/>
                <w:kern w:val="0"/>
                <w:sz w:val="24"/>
              </w:rPr>
              <w:t>江苏舜华氢能源科技有限公司</w:t>
            </w:r>
            <w:r>
              <w:rPr>
                <w:color w:val="auto"/>
                <w:kern w:val="0"/>
                <w:sz w:val="24"/>
              </w:rPr>
              <w:t>，</w:t>
            </w:r>
            <w:r>
              <w:rPr>
                <w:rFonts w:hint="eastAsia"/>
                <w:color w:val="auto"/>
                <w:kern w:val="0"/>
                <w:sz w:val="24"/>
              </w:rPr>
              <w:t>东侧为金龙湖，</w:t>
            </w:r>
            <w:r>
              <w:rPr>
                <w:color w:val="auto"/>
                <w:kern w:val="0"/>
                <w:sz w:val="24"/>
              </w:rPr>
              <w:t>南侧</w:t>
            </w:r>
            <w:r>
              <w:rPr>
                <w:rFonts w:hint="eastAsia"/>
                <w:color w:val="auto"/>
                <w:kern w:val="0"/>
                <w:sz w:val="24"/>
              </w:rPr>
              <w:t>、西侧为空地</w:t>
            </w:r>
            <w:r>
              <w:rPr>
                <w:color w:val="auto"/>
                <w:kern w:val="0"/>
                <w:sz w:val="24"/>
              </w:rPr>
              <w:t>。</w:t>
            </w:r>
            <w:r>
              <w:rPr>
                <w:color w:val="auto"/>
                <w:sz w:val="24"/>
              </w:rPr>
              <w:t>本项目厂区四周边界现状彩色照片见附图5，厂界外周围500米现状见附图7。</w:t>
            </w:r>
          </w:p>
          <w:p>
            <w:pPr>
              <w:spacing w:line="360" w:lineRule="auto"/>
              <w:ind w:firstLine="482" w:firstLineChars="200"/>
              <w:rPr>
                <w:b/>
                <w:bCs/>
                <w:color w:val="auto"/>
                <w:sz w:val="24"/>
              </w:rPr>
            </w:pPr>
            <w:r>
              <w:rPr>
                <w:rFonts w:hint="eastAsia"/>
                <w:b/>
                <w:bCs/>
                <w:color w:val="auto"/>
                <w:sz w:val="24"/>
              </w:rPr>
              <w:t>7</w:t>
            </w:r>
            <w:r>
              <w:rPr>
                <w:b/>
                <w:bCs/>
                <w:color w:val="auto"/>
                <w:sz w:val="24"/>
              </w:rPr>
              <w:t>、厂区平面布置</w:t>
            </w:r>
          </w:p>
          <w:p>
            <w:pPr>
              <w:pStyle w:val="2"/>
              <w:adjustRightInd/>
              <w:ind w:firstLine="480" w:firstLineChars="200"/>
              <w:rPr>
                <w:color w:val="auto"/>
              </w:rPr>
            </w:pPr>
            <w:r>
              <w:rPr>
                <w:rFonts w:ascii="Times New Roman" w:hAnsi="Times New Roman"/>
                <w:color w:val="auto"/>
                <w:sz w:val="24"/>
                <w:szCs w:val="24"/>
              </w:rPr>
              <w:t>本项目在厂内空地上，占地面积</w:t>
            </w:r>
            <w:r>
              <w:rPr>
                <w:rFonts w:hint="eastAsia" w:ascii="Times New Roman" w:hAnsi="Times New Roman"/>
                <w:color w:val="auto"/>
                <w:sz w:val="24"/>
                <w:szCs w:val="24"/>
              </w:rPr>
              <w:t>179.25</w:t>
            </w:r>
            <w:r>
              <w:rPr>
                <w:rFonts w:ascii="Times New Roman" w:hAnsi="Times New Roman"/>
                <w:color w:val="auto"/>
                <w:sz w:val="24"/>
                <w:szCs w:val="24"/>
              </w:rPr>
              <w:t>平方米的仓储用房，厂区内主要建筑物有</w:t>
            </w:r>
            <w:r>
              <w:rPr>
                <w:rFonts w:hint="eastAsia" w:ascii="Times New Roman" w:hAnsi="Times New Roman"/>
                <w:color w:val="auto"/>
                <w:sz w:val="24"/>
                <w:szCs w:val="24"/>
              </w:rPr>
              <w:t>组装车间、仓库</w:t>
            </w:r>
            <w:r>
              <w:rPr>
                <w:rFonts w:ascii="Times New Roman" w:hAnsi="Times New Roman"/>
                <w:color w:val="auto"/>
                <w:sz w:val="24"/>
                <w:szCs w:val="24"/>
              </w:rPr>
              <w:t>等，各功能单元布置紧凑合理、生产车间布置考虑安全布局，符合防火、环保、卫生和安全等规范要求，以利于保障生命财产的安全和改善职工劳动条件。因此，本项目厂房平面布置较合理。厂区总平面布置情况见附图</w:t>
            </w:r>
            <w:r>
              <w:rPr>
                <w:rFonts w:hint="eastAsia" w:ascii="Times New Roman" w:hAnsi="Times New Roman"/>
                <w:color w:val="auto"/>
              </w:rPr>
              <w:t>7</w:t>
            </w:r>
            <w:r>
              <w:rPr>
                <w:rFonts w:ascii="Times New Roman" w:hAnsi="Times New Roman"/>
                <w:color w:val="auto"/>
                <w:sz w:val="24"/>
                <w:szCs w:val="24"/>
              </w:rPr>
              <w:t>。</w:t>
            </w:r>
          </w:p>
          <w:p>
            <w:pPr>
              <w:numPr>
                <w:ilvl w:val="0"/>
                <w:numId w:val="5"/>
              </w:numPr>
              <w:spacing w:line="360" w:lineRule="auto"/>
              <w:ind w:firstLine="482" w:firstLineChars="200"/>
              <w:rPr>
                <w:b/>
                <w:bCs/>
                <w:color w:val="auto"/>
                <w:sz w:val="24"/>
              </w:rPr>
            </w:pPr>
            <w:r>
              <w:rPr>
                <w:b/>
                <w:bCs/>
                <w:color w:val="auto"/>
                <w:sz w:val="24"/>
              </w:rPr>
              <w:t>主要设计要求</w:t>
            </w:r>
          </w:p>
          <w:p>
            <w:pPr>
              <w:keepNext/>
              <w:keepLines/>
              <w:spacing w:line="360" w:lineRule="auto"/>
              <w:ind w:firstLine="480" w:firstLineChars="200"/>
              <w:rPr>
                <w:color w:val="auto"/>
                <w:sz w:val="24"/>
              </w:rPr>
            </w:pPr>
            <w:r>
              <w:rPr>
                <w:rFonts w:hint="eastAsia"/>
                <w:color w:val="auto"/>
                <w:sz w:val="24"/>
              </w:rPr>
              <w:t>为提升企业高质量发展标准，规范企业危化品安全储存，本项目建设危险化学品仓库179.25平方米，仓库火险等级均达到</w:t>
            </w:r>
            <w:r>
              <w:rPr>
                <w:color w:val="auto"/>
                <w:sz w:val="24"/>
              </w:rPr>
              <w:t>《GB50016-2014(2018年版)建筑设计防火规范》、《GB55037-2022建筑防火通用规范》中火灾危险性甲类标准要求</w:t>
            </w:r>
            <w:r>
              <w:rPr>
                <w:rFonts w:hint="eastAsia"/>
                <w:color w:val="auto"/>
                <w:sz w:val="24"/>
              </w:rPr>
              <w:t>及《建筑内部装修设计防火规范（2017版）》（GB50222-2017）等设计要求</w:t>
            </w:r>
            <w:r>
              <w:rPr>
                <w:color w:val="auto"/>
                <w:sz w:val="24"/>
              </w:rPr>
              <w:t>建设</w:t>
            </w:r>
            <w:r>
              <w:rPr>
                <w:rFonts w:hint="eastAsia"/>
                <w:color w:val="auto"/>
                <w:sz w:val="24"/>
              </w:rPr>
              <w:t>。</w:t>
            </w:r>
          </w:p>
          <w:p>
            <w:pPr>
              <w:widowControl/>
              <w:spacing w:line="360" w:lineRule="auto"/>
              <w:ind w:firstLine="480" w:firstLineChars="200"/>
              <w:jc w:val="left"/>
              <w:rPr>
                <w:bCs/>
                <w:color w:val="auto"/>
                <w:sz w:val="24"/>
              </w:rPr>
            </w:pPr>
            <w:r>
              <w:rPr>
                <w:rFonts w:hint="eastAsia"/>
                <w:bCs/>
                <w:color w:val="auto"/>
                <w:sz w:val="24"/>
              </w:rPr>
              <w:t>（1）危险化学品仓库设计方案</w:t>
            </w:r>
          </w:p>
          <w:p>
            <w:pPr>
              <w:widowControl/>
              <w:spacing w:line="360" w:lineRule="auto"/>
              <w:ind w:firstLine="480" w:firstLineChars="200"/>
              <w:jc w:val="left"/>
              <w:rPr>
                <w:bCs/>
                <w:color w:val="auto"/>
                <w:sz w:val="24"/>
              </w:rPr>
            </w:pPr>
            <w:r>
              <w:rPr>
                <w:bCs/>
                <w:color w:val="auto"/>
                <w:sz w:val="24"/>
              </w:rPr>
              <w:t>1）防渗设计方案</w:t>
            </w:r>
          </w:p>
          <w:p>
            <w:pPr>
              <w:widowControl/>
              <w:spacing w:line="360" w:lineRule="auto"/>
              <w:ind w:firstLine="480" w:firstLineChars="200"/>
              <w:jc w:val="left"/>
              <w:rPr>
                <w:bCs/>
                <w:color w:val="auto"/>
                <w:sz w:val="24"/>
              </w:rPr>
            </w:pPr>
            <w:r>
              <w:rPr>
                <w:rFonts w:hint="eastAsia"/>
                <w:bCs/>
                <w:color w:val="auto"/>
                <w:sz w:val="24"/>
              </w:rPr>
              <w:t>危险</w:t>
            </w:r>
            <w:r>
              <w:rPr>
                <w:bCs/>
                <w:color w:val="auto"/>
                <w:sz w:val="24"/>
              </w:rPr>
              <w:t>化学品仓库总占地面积约</w:t>
            </w:r>
            <w:r>
              <w:rPr>
                <w:rFonts w:hint="eastAsia"/>
                <w:bCs/>
                <w:color w:val="auto"/>
                <w:sz w:val="24"/>
              </w:rPr>
              <w:t>179.25</w:t>
            </w:r>
            <w:r>
              <w:rPr>
                <w:bCs/>
                <w:color w:val="auto"/>
                <w:sz w:val="24"/>
              </w:rPr>
              <w:t>m</w:t>
            </w:r>
            <w:r>
              <w:rPr>
                <w:bCs/>
                <w:color w:val="auto"/>
                <w:sz w:val="24"/>
                <w:vertAlign w:val="superscript"/>
              </w:rPr>
              <w:t>2</w:t>
            </w:r>
            <w:r>
              <w:rPr>
                <w:bCs/>
                <w:color w:val="auto"/>
                <w:sz w:val="24"/>
              </w:rPr>
              <w:t>，地面等采用环氧树脂防腐防渗。</w:t>
            </w:r>
          </w:p>
          <w:p>
            <w:pPr>
              <w:widowControl/>
              <w:spacing w:line="360" w:lineRule="auto"/>
              <w:ind w:firstLine="480" w:firstLineChars="200"/>
              <w:jc w:val="left"/>
              <w:rPr>
                <w:bCs/>
                <w:color w:val="auto"/>
                <w:sz w:val="24"/>
              </w:rPr>
            </w:pPr>
            <w:r>
              <w:rPr>
                <w:bCs/>
                <w:color w:val="auto"/>
                <w:sz w:val="24"/>
              </w:rPr>
              <w:t>2）储存区设计方案</w:t>
            </w:r>
          </w:p>
          <w:p>
            <w:pPr>
              <w:pStyle w:val="2"/>
              <w:adjustRightInd/>
              <w:ind w:firstLine="480" w:firstLineChars="200"/>
              <w:rPr>
                <w:rFonts w:ascii="Times New Roman" w:hAnsi="Times New Roman"/>
                <w:color w:val="auto"/>
                <w:sz w:val="24"/>
                <w:szCs w:val="24"/>
              </w:rPr>
            </w:pPr>
            <w:r>
              <w:rPr>
                <w:rFonts w:ascii="Times New Roman" w:hAnsi="Times New Roman"/>
                <w:color w:val="auto"/>
                <w:sz w:val="24"/>
                <w:szCs w:val="24"/>
              </w:rPr>
              <w:t>①按危险化学品的危险性质和物料形态不同，设置</w:t>
            </w:r>
            <w:r>
              <w:rPr>
                <w:rFonts w:hint="eastAsia" w:ascii="Times New Roman" w:hAnsi="Times New Roman"/>
                <w:color w:val="auto"/>
                <w:sz w:val="24"/>
                <w:szCs w:val="24"/>
              </w:rPr>
              <w:t>1</w:t>
            </w:r>
            <w:r>
              <w:rPr>
                <w:rFonts w:ascii="Times New Roman" w:hAnsi="Times New Roman"/>
                <w:color w:val="auto"/>
                <w:sz w:val="24"/>
                <w:szCs w:val="24"/>
              </w:rPr>
              <w:t>座甲类仓库，</w:t>
            </w:r>
            <w:r>
              <w:rPr>
                <w:rFonts w:hint="eastAsia" w:ascii="Times New Roman" w:hAnsi="Times New Roman"/>
                <w:color w:val="auto"/>
                <w:sz w:val="24"/>
                <w:szCs w:val="24"/>
              </w:rPr>
              <w:t>危险化学品</w:t>
            </w:r>
            <w:r>
              <w:rPr>
                <w:rFonts w:ascii="Times New Roman" w:hAnsi="Times New Roman"/>
                <w:color w:val="auto"/>
                <w:sz w:val="24"/>
                <w:szCs w:val="24"/>
              </w:rPr>
              <w:t>仓库均位于厂区</w:t>
            </w:r>
            <w:r>
              <w:rPr>
                <w:rFonts w:hint="eastAsia" w:ascii="Times New Roman" w:hAnsi="Times New Roman"/>
                <w:color w:val="auto"/>
                <w:sz w:val="24"/>
                <w:szCs w:val="24"/>
              </w:rPr>
              <w:t>西</w:t>
            </w:r>
            <w:r>
              <w:rPr>
                <w:rFonts w:ascii="Times New Roman" w:hAnsi="Times New Roman"/>
                <w:color w:val="auto"/>
                <w:sz w:val="24"/>
                <w:szCs w:val="24"/>
              </w:rPr>
              <w:t>侧，放置</w:t>
            </w:r>
            <w:r>
              <w:rPr>
                <w:rFonts w:hint="eastAsia" w:ascii="Times New Roman" w:hAnsi="Times New Roman"/>
                <w:color w:val="auto"/>
                <w:sz w:val="24"/>
                <w:szCs w:val="24"/>
              </w:rPr>
              <w:t>现有项目</w:t>
            </w:r>
            <w:r>
              <w:rPr>
                <w:rFonts w:ascii="Times New Roman" w:hAnsi="Times New Roman"/>
                <w:color w:val="auto"/>
                <w:sz w:val="24"/>
                <w:szCs w:val="24"/>
              </w:rPr>
              <w:t>化学品。</w:t>
            </w:r>
          </w:p>
          <w:p>
            <w:pPr>
              <w:pStyle w:val="2"/>
              <w:adjustRightInd/>
              <w:ind w:firstLine="480" w:firstLineChars="200"/>
              <w:rPr>
                <w:rFonts w:ascii="Times New Roman" w:hAnsi="Times New Roman"/>
                <w:color w:val="auto"/>
                <w:sz w:val="24"/>
                <w:szCs w:val="24"/>
              </w:rPr>
            </w:pPr>
            <w:r>
              <w:rPr>
                <w:rFonts w:ascii="Times New Roman" w:hAnsi="Times New Roman"/>
                <w:color w:val="auto"/>
                <w:sz w:val="24"/>
                <w:szCs w:val="24"/>
              </w:rPr>
              <w:t>②存区设置泄漏托盘，在仓库内设置</w:t>
            </w:r>
            <w:r>
              <w:rPr>
                <w:rFonts w:hint="eastAsia" w:ascii="Times New Roman" w:hAnsi="Times New Roman"/>
                <w:color w:val="auto"/>
                <w:sz w:val="24"/>
                <w:szCs w:val="24"/>
              </w:rPr>
              <w:t>2个容积为1m</w:t>
            </w:r>
            <w:r>
              <w:rPr>
                <w:rFonts w:hint="eastAsia" w:ascii="Times New Roman" w:hAnsi="Times New Roman"/>
                <w:color w:val="auto"/>
                <w:sz w:val="24"/>
                <w:szCs w:val="24"/>
                <w:vertAlign w:val="superscript"/>
              </w:rPr>
              <w:t>3</w:t>
            </w:r>
            <w:r>
              <w:rPr>
                <w:rFonts w:hint="eastAsia" w:ascii="Times New Roman" w:hAnsi="Times New Roman"/>
                <w:color w:val="auto"/>
                <w:sz w:val="24"/>
                <w:szCs w:val="24"/>
              </w:rPr>
              <w:t>/个的</w:t>
            </w:r>
            <w:r>
              <w:rPr>
                <w:rFonts w:ascii="Times New Roman" w:hAnsi="Times New Roman"/>
                <w:color w:val="auto"/>
                <w:sz w:val="24"/>
                <w:szCs w:val="24"/>
              </w:rPr>
              <w:t>收集</w:t>
            </w:r>
            <w:r>
              <w:rPr>
                <w:rFonts w:hint="eastAsia" w:ascii="Times New Roman" w:hAnsi="Times New Roman"/>
                <w:color w:val="auto"/>
                <w:sz w:val="24"/>
                <w:szCs w:val="24"/>
              </w:rPr>
              <w:t>井</w:t>
            </w:r>
            <w:r>
              <w:rPr>
                <w:rFonts w:ascii="Times New Roman" w:hAnsi="Times New Roman"/>
                <w:color w:val="auto"/>
                <w:sz w:val="24"/>
                <w:szCs w:val="24"/>
              </w:rPr>
              <w:t>；</w:t>
            </w:r>
          </w:p>
          <w:p>
            <w:pPr>
              <w:pStyle w:val="2"/>
              <w:adjustRightInd/>
              <w:ind w:firstLine="480" w:firstLineChars="200"/>
              <w:rPr>
                <w:rFonts w:ascii="Times New Roman" w:hAnsi="Times New Roman"/>
                <w:color w:val="auto"/>
                <w:sz w:val="24"/>
                <w:szCs w:val="24"/>
              </w:rPr>
            </w:pPr>
            <w:r>
              <w:rPr>
                <w:rFonts w:ascii="Times New Roman" w:hAnsi="Times New Roman"/>
                <w:color w:val="auto"/>
                <w:sz w:val="24"/>
                <w:szCs w:val="24"/>
              </w:rPr>
              <w:t>③仓库内配备防爆型通讯设备、照明设施和消防设施，并设置观察窗口；</w:t>
            </w:r>
          </w:p>
          <w:p>
            <w:pPr>
              <w:widowControl/>
              <w:spacing w:line="360" w:lineRule="auto"/>
              <w:ind w:firstLine="480" w:firstLineChars="200"/>
              <w:jc w:val="left"/>
              <w:rPr>
                <w:bCs/>
                <w:color w:val="auto"/>
                <w:sz w:val="24"/>
              </w:rPr>
            </w:pPr>
            <w:r>
              <w:rPr>
                <w:rFonts w:hint="eastAsia"/>
                <w:bCs/>
                <w:color w:val="auto"/>
                <w:sz w:val="24"/>
              </w:rPr>
              <w:t>（2）“三同时”制度</w:t>
            </w:r>
          </w:p>
          <w:p>
            <w:pPr>
              <w:spacing w:line="360" w:lineRule="auto"/>
              <w:ind w:firstLine="480" w:firstLineChars="200"/>
              <w:rPr>
                <w:bCs/>
                <w:color w:val="auto"/>
                <w:sz w:val="24"/>
              </w:rPr>
            </w:pPr>
            <w:r>
              <w:rPr>
                <w:bCs/>
                <w:color w:val="auto"/>
                <w:sz w:val="24"/>
              </w:rPr>
              <w:t>在项目筹备、实施和建设阶段，应严格执行“三同时”，确保各</w:t>
            </w:r>
            <w:r>
              <w:rPr>
                <w:rFonts w:hint="eastAsia"/>
                <w:bCs/>
                <w:color w:val="auto"/>
                <w:sz w:val="24"/>
              </w:rPr>
              <w:t>安全设施及消防设施</w:t>
            </w:r>
            <w:r>
              <w:rPr>
                <w:bCs/>
                <w:color w:val="auto"/>
                <w:sz w:val="24"/>
              </w:rPr>
              <w:t>能够和</w:t>
            </w:r>
            <w:r>
              <w:rPr>
                <w:rFonts w:hint="eastAsia"/>
                <w:bCs/>
                <w:color w:val="auto"/>
                <w:sz w:val="24"/>
              </w:rPr>
              <w:t>主体工程</w:t>
            </w:r>
            <w:r>
              <w:rPr>
                <w:bCs/>
                <w:color w:val="auto"/>
                <w:sz w:val="24"/>
              </w:rPr>
              <w:t>“同时设计、同时施工、同时投产使用”。</w:t>
            </w:r>
          </w:p>
          <w:p>
            <w:pPr>
              <w:numPr>
                <w:ilvl w:val="0"/>
                <w:numId w:val="6"/>
              </w:numPr>
              <w:spacing w:line="360" w:lineRule="auto"/>
              <w:ind w:firstLine="480" w:firstLineChars="200"/>
              <w:rPr>
                <w:bCs/>
                <w:color w:val="auto"/>
                <w:sz w:val="24"/>
              </w:rPr>
            </w:pPr>
            <w:r>
              <w:rPr>
                <w:rFonts w:hint="eastAsia"/>
                <w:bCs/>
                <w:color w:val="auto"/>
                <w:sz w:val="24"/>
              </w:rPr>
              <w:t>与规划部门的相符性</w:t>
            </w:r>
          </w:p>
          <w:p>
            <w:pPr>
              <w:widowControl/>
              <w:spacing w:line="360" w:lineRule="auto"/>
              <w:ind w:firstLine="480" w:firstLineChars="200"/>
              <w:jc w:val="left"/>
              <w:rPr>
                <w:color w:val="auto"/>
                <w:kern w:val="0"/>
                <w:sz w:val="24"/>
              </w:rPr>
            </w:pPr>
            <w:r>
              <w:rPr>
                <w:bCs/>
                <w:color w:val="auto"/>
                <w:sz w:val="24"/>
              </w:rPr>
              <w:t>根据最新规划环评《常熟高新技术产业开发区发展总体规划（2016-2030）环境影响报告书》及其审查意见（环审〔2021〕6号），本项目于常熟市东南街道庐山路68号</w:t>
            </w:r>
            <w:r>
              <w:rPr>
                <w:rFonts w:hint="eastAsia"/>
                <w:bCs/>
                <w:color w:val="auto"/>
                <w:sz w:val="24"/>
              </w:rPr>
              <w:t>，</w:t>
            </w:r>
            <w:r>
              <w:rPr>
                <w:bCs/>
                <w:color w:val="auto"/>
                <w:sz w:val="24"/>
              </w:rPr>
              <w:t>根据《常熟市南部新城局部片区控制性详细规划（2022年修改）》中土地使用规划图，项目所在地块为一类工业用地，根据企业提供的</w:t>
            </w:r>
            <w:r>
              <w:rPr>
                <w:rFonts w:hint="eastAsia"/>
                <w:bCs/>
                <w:color w:val="auto"/>
                <w:sz w:val="24"/>
              </w:rPr>
              <w:t>不动产权证</w:t>
            </w:r>
            <w:r>
              <w:rPr>
                <w:bCs/>
                <w:color w:val="auto"/>
                <w:sz w:val="24"/>
              </w:rPr>
              <w:t>，项目用地性质为工业用地，选址合理，符合相关用地规划要求。</w:t>
            </w:r>
          </w:p>
          <w:p>
            <w:pPr>
              <w:widowControl/>
              <w:spacing w:line="360" w:lineRule="auto"/>
              <w:ind w:firstLine="480" w:firstLineChars="200"/>
              <w:jc w:val="left"/>
              <w:rPr>
                <w:bCs/>
                <w:color w:val="auto"/>
                <w:sz w:val="24"/>
              </w:rPr>
            </w:pPr>
            <w:r>
              <w:rPr>
                <w:rFonts w:hint="eastAsia"/>
                <w:bCs/>
                <w:color w:val="auto"/>
                <w:sz w:val="24"/>
              </w:rPr>
              <w:t>同时本项目</w:t>
            </w:r>
            <w:r>
              <w:rPr>
                <w:bCs/>
                <w:color w:val="auto"/>
                <w:sz w:val="24"/>
              </w:rPr>
              <w:t>为新建自用危险化学品专用仓库项目，</w:t>
            </w:r>
            <w:r>
              <w:rPr>
                <w:rFonts w:hint="eastAsia"/>
                <w:bCs/>
                <w:color w:val="auto"/>
                <w:sz w:val="24"/>
              </w:rPr>
              <w:t>属于企业配套服务，</w:t>
            </w:r>
            <w:r>
              <w:rPr>
                <w:bCs/>
                <w:color w:val="auto"/>
                <w:sz w:val="24"/>
              </w:rPr>
              <w:t>厂界周边100米范围内无居民等环境敏感目标</w:t>
            </w:r>
            <w:r>
              <w:rPr>
                <w:rFonts w:hint="eastAsia"/>
                <w:bCs/>
                <w:color w:val="auto"/>
                <w:sz w:val="24"/>
              </w:rPr>
              <w:t>，</w:t>
            </w:r>
            <w:r>
              <w:rPr>
                <w:bCs/>
                <w:color w:val="auto"/>
                <w:sz w:val="24"/>
              </w:rPr>
              <w:t>不属于园区企业负面清单限制、禁止发展项目，不在园区划定的环境准入负面清单范围内，与环境准入负面清单相符，符合园区规划。</w:t>
            </w:r>
          </w:p>
          <w:p>
            <w:pPr>
              <w:widowControl/>
              <w:spacing w:line="360" w:lineRule="auto"/>
              <w:ind w:firstLine="480" w:firstLineChars="200"/>
              <w:jc w:val="left"/>
              <w:rPr>
                <w:rFonts w:ascii="宋体" w:hAnsi="宋体" w:cs="宋体"/>
                <w:color w:val="auto"/>
                <w:sz w:val="24"/>
              </w:rPr>
            </w:pPr>
            <w:r>
              <w:rPr>
                <w:bCs/>
                <w:color w:val="auto"/>
                <w:sz w:val="24"/>
              </w:rPr>
              <w:t>本项目</w:t>
            </w:r>
            <w:r>
              <w:rPr>
                <w:rFonts w:hint="eastAsia"/>
                <w:bCs/>
                <w:color w:val="auto"/>
                <w:sz w:val="24"/>
              </w:rPr>
              <w:t>开展环境影响评价，并加强与规划环评的联动，严格落实环境保护相关措施。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452" w:type="dxa"/>
            <w:noWrap/>
            <w:vAlign w:val="center"/>
          </w:tcPr>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工</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艺</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流</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程</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和</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产</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排</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污</w:t>
            </w:r>
          </w:p>
          <w:p>
            <w:pPr>
              <w:pStyle w:val="16"/>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环</w:t>
            </w:r>
          </w:p>
          <w:p>
            <w:pPr>
              <w:pStyle w:val="16"/>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Cs w:val="24"/>
              </w:rPr>
              <w:t>节</w:t>
            </w:r>
          </w:p>
        </w:tc>
        <w:tc>
          <w:tcPr>
            <w:tcW w:w="8628" w:type="dxa"/>
            <w:noWrap/>
          </w:tcPr>
          <w:p>
            <w:pPr>
              <w:pStyle w:val="2"/>
              <w:numPr>
                <w:ilvl w:val="0"/>
                <w:numId w:val="7"/>
              </w:numPr>
              <w:rPr>
                <w:rFonts w:ascii="Times New Roman" w:hAnsi="Times New Roman"/>
                <w:b/>
                <w:bCs w:val="0"/>
                <w:color w:val="auto"/>
                <w:sz w:val="24"/>
                <w:szCs w:val="24"/>
              </w:rPr>
            </w:pPr>
            <w:r>
              <w:rPr>
                <w:rFonts w:ascii="Times New Roman" w:hAnsi="Times New Roman"/>
                <w:b/>
                <w:bCs w:val="0"/>
                <w:color w:val="auto"/>
                <w:sz w:val="24"/>
                <w:szCs w:val="24"/>
              </w:rPr>
              <w:t>施工期</w:t>
            </w:r>
          </w:p>
          <w:p>
            <w:pPr>
              <w:pStyle w:val="2"/>
              <w:jc w:val="center"/>
              <w:rPr>
                <w:rFonts w:ascii="Times New Roman" w:hAnsi="Times New Roman"/>
                <w:color w:val="auto"/>
                <w:sz w:val="24"/>
                <w:szCs w:val="24"/>
              </w:rPr>
            </w:pPr>
            <w:r>
              <w:rPr>
                <w:color w:val="auto"/>
              </w:rPr>
              <w:drawing>
                <wp:inline distT="0" distB="0" distL="114300" distR="114300">
                  <wp:extent cx="5373370" cy="1341755"/>
                  <wp:effectExtent l="0" t="0" r="17780"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373370" cy="1341755"/>
                          </a:xfrm>
                          <a:prstGeom prst="rect">
                            <a:avLst/>
                          </a:prstGeom>
                          <a:noFill/>
                          <a:ln>
                            <a:noFill/>
                          </a:ln>
                        </pic:spPr>
                      </pic:pic>
                    </a:graphicData>
                  </a:graphic>
                </wp:inline>
              </w:drawing>
            </w:r>
          </w:p>
          <w:p>
            <w:pPr>
              <w:spacing w:line="360" w:lineRule="auto"/>
              <w:ind w:firstLine="482" w:firstLineChars="200"/>
              <w:jc w:val="center"/>
              <w:rPr>
                <w:b/>
                <w:bCs/>
                <w:color w:val="auto"/>
                <w:sz w:val="24"/>
              </w:rPr>
            </w:pPr>
            <w:r>
              <w:rPr>
                <w:b/>
                <w:bCs/>
                <w:color w:val="auto"/>
                <w:sz w:val="24"/>
              </w:rPr>
              <w:t>图2-1施工期工艺流程图</w:t>
            </w:r>
          </w:p>
          <w:p>
            <w:pPr>
              <w:spacing w:line="360" w:lineRule="auto"/>
              <w:ind w:firstLine="482" w:firstLineChars="200"/>
              <w:rPr>
                <w:b/>
                <w:bCs/>
                <w:color w:val="auto"/>
                <w:sz w:val="24"/>
              </w:rPr>
            </w:pPr>
            <w:r>
              <w:rPr>
                <w:b/>
                <w:bCs/>
                <w:color w:val="auto"/>
                <w:sz w:val="24"/>
              </w:rPr>
              <w:t>1、工艺流程简述</w:t>
            </w:r>
          </w:p>
          <w:p>
            <w:pPr>
              <w:spacing w:line="360" w:lineRule="auto"/>
              <w:ind w:firstLine="480" w:firstLineChars="200"/>
              <w:rPr>
                <w:color w:val="auto"/>
                <w:sz w:val="24"/>
              </w:rPr>
            </w:pPr>
            <w:r>
              <w:rPr>
                <w:color w:val="auto"/>
                <w:sz w:val="24"/>
              </w:rPr>
              <w:t>①基础工程</w:t>
            </w:r>
          </w:p>
          <w:p>
            <w:pPr>
              <w:spacing w:line="360" w:lineRule="auto"/>
              <w:ind w:firstLine="480" w:firstLineChars="200"/>
              <w:rPr>
                <w:color w:val="auto"/>
                <w:sz w:val="24"/>
              </w:rPr>
            </w:pPr>
            <w:r>
              <w:rPr>
                <w:color w:val="auto"/>
                <w:sz w:val="24"/>
              </w:rPr>
              <w:t>建设项目基础工程主要为场地的平整、填土和夯实。建筑工人利用推土机等设备对地块进行改造，使地块内坡度减缓，会产生大量的扬尘、建筑垃圾和噪声污染。由于连续作业时间较短，扬尘和噪声只是对周围局部环境影响，相对于整个施工期来看，此工段对周围环境影响较小。</w:t>
            </w:r>
          </w:p>
          <w:p>
            <w:pPr>
              <w:spacing w:line="360" w:lineRule="auto"/>
              <w:ind w:firstLine="480" w:firstLineChars="200"/>
              <w:rPr>
                <w:color w:val="auto"/>
                <w:sz w:val="24"/>
              </w:rPr>
            </w:pPr>
            <w:r>
              <w:rPr>
                <w:color w:val="auto"/>
                <w:sz w:val="24"/>
              </w:rPr>
              <w:t>建设项目将基础阶段产生的碎石、砂石、粘土等共同用作填土材料。利用压路机分片压碾，并浇水湿润填土以利于密实。该项目地块较为平坦，水土流失量很小，该工段主要污染物为施工机械产生的噪声、扬尘和建筑垃圾及施工车辆尾气。</w:t>
            </w:r>
          </w:p>
          <w:p>
            <w:pPr>
              <w:spacing w:line="360" w:lineRule="auto"/>
              <w:ind w:firstLine="480" w:firstLineChars="200"/>
              <w:rPr>
                <w:color w:val="auto"/>
                <w:sz w:val="24"/>
              </w:rPr>
            </w:pPr>
            <w:r>
              <w:rPr>
                <w:color w:val="auto"/>
                <w:sz w:val="24"/>
              </w:rPr>
              <w:t>②主体工程</w:t>
            </w:r>
          </w:p>
          <w:p>
            <w:pPr>
              <w:spacing w:line="360" w:lineRule="auto"/>
              <w:ind w:firstLine="480" w:firstLineChars="200"/>
              <w:rPr>
                <w:color w:val="auto"/>
                <w:sz w:val="24"/>
              </w:rPr>
            </w:pPr>
            <w:r>
              <w:rPr>
                <w:color w:val="auto"/>
                <w:sz w:val="24"/>
              </w:rPr>
              <w:t>建设项目主体工程为框架结构，主要施工为钢筋绑扎、模板支护、混凝土浇筑。建设项目在砖墙砖砌时，首先进行水泥砂浆的调配，然后再挂线砌筑。该工段工期较长，主要污染物为扬尘、搅拌机产生的噪声、汽车尾气，碎砖和废砂等固废。</w:t>
            </w:r>
          </w:p>
          <w:p>
            <w:pPr>
              <w:spacing w:line="360" w:lineRule="auto"/>
              <w:ind w:firstLine="480" w:firstLineChars="200"/>
              <w:rPr>
                <w:color w:val="auto"/>
                <w:sz w:val="24"/>
              </w:rPr>
            </w:pPr>
            <w:r>
              <w:rPr>
                <w:color w:val="auto"/>
                <w:sz w:val="24"/>
              </w:rPr>
              <w:t>③装饰工程</w:t>
            </w:r>
          </w:p>
          <w:p>
            <w:pPr>
              <w:spacing w:line="360" w:lineRule="auto"/>
              <w:ind w:firstLine="480" w:firstLineChars="200"/>
              <w:rPr>
                <w:color w:val="auto"/>
                <w:sz w:val="24"/>
              </w:rPr>
            </w:pPr>
            <w:r>
              <w:rPr>
                <w:color w:val="auto"/>
                <w:sz w:val="24"/>
              </w:rPr>
              <w:t>利用浅色环保型高级涂料和浅灰色仿石涂料喷刷，最好对外露的铁件进行油漆施工，本工段时间较短，且使用的涂料和油漆量较少，有少量的有机废气挥发。</w:t>
            </w:r>
          </w:p>
          <w:p>
            <w:pPr>
              <w:spacing w:line="360" w:lineRule="auto"/>
              <w:ind w:firstLine="480" w:firstLineChars="200"/>
              <w:rPr>
                <w:color w:val="auto"/>
                <w:sz w:val="24"/>
              </w:rPr>
            </w:pPr>
            <w:r>
              <w:rPr>
                <w:color w:val="auto"/>
                <w:sz w:val="24"/>
              </w:rPr>
              <w:t>④安装工程</w:t>
            </w:r>
          </w:p>
          <w:p>
            <w:pPr>
              <w:spacing w:line="360" w:lineRule="auto"/>
              <w:ind w:firstLine="480" w:firstLineChars="200"/>
              <w:rPr>
                <w:color w:val="auto"/>
                <w:sz w:val="24"/>
              </w:rPr>
            </w:pPr>
            <w:r>
              <w:rPr>
                <w:color w:val="auto"/>
                <w:sz w:val="24"/>
              </w:rPr>
              <w:t>包括水雨管网铺设等施工，主要污染物是施工机械产生的噪声、废弃物等。</w:t>
            </w:r>
          </w:p>
          <w:p>
            <w:pPr>
              <w:pStyle w:val="2"/>
              <w:numPr>
                <w:ilvl w:val="0"/>
                <w:numId w:val="7"/>
              </w:numPr>
              <w:ind w:firstLine="482" w:firstLineChars="200"/>
              <w:rPr>
                <w:rFonts w:ascii="Times New Roman" w:hAnsi="Times New Roman"/>
                <w:b/>
                <w:bCs w:val="0"/>
                <w:color w:val="auto"/>
                <w:sz w:val="24"/>
                <w:szCs w:val="24"/>
              </w:rPr>
            </w:pPr>
            <w:r>
              <w:rPr>
                <w:rFonts w:ascii="Times New Roman" w:hAnsi="Times New Roman"/>
                <w:b/>
                <w:bCs w:val="0"/>
                <w:color w:val="auto"/>
                <w:sz w:val="24"/>
                <w:szCs w:val="24"/>
              </w:rPr>
              <w:t>营运期</w:t>
            </w:r>
          </w:p>
          <w:p>
            <w:pPr>
              <w:pStyle w:val="2"/>
              <w:ind w:firstLine="482" w:firstLineChars="200"/>
              <w:rPr>
                <w:rFonts w:ascii="Times New Roman" w:hAnsi="Times New Roman"/>
                <w:b/>
                <w:bCs w:val="0"/>
                <w:color w:val="auto"/>
                <w:sz w:val="24"/>
                <w:szCs w:val="24"/>
              </w:rPr>
            </w:pPr>
            <w:r>
              <w:rPr>
                <w:rFonts w:ascii="Times New Roman" w:hAnsi="Times New Roman"/>
                <w:b/>
                <w:bCs w:val="0"/>
                <w:color w:val="auto"/>
                <w:sz w:val="24"/>
                <w:szCs w:val="24"/>
              </w:rPr>
              <w:t>1、工艺流程简述</w:t>
            </w:r>
          </w:p>
          <w:p>
            <w:pPr>
              <w:widowControl/>
              <w:spacing w:line="360" w:lineRule="auto"/>
              <w:ind w:firstLine="480" w:firstLineChars="200"/>
              <w:jc w:val="left"/>
              <w:rPr>
                <w:color w:val="auto"/>
                <w:kern w:val="0"/>
                <w:sz w:val="24"/>
              </w:rPr>
            </w:pPr>
            <w:r>
              <w:rPr>
                <w:rFonts w:hint="eastAsia"/>
                <w:color w:val="auto"/>
                <w:kern w:val="0"/>
                <w:sz w:val="24"/>
              </w:rPr>
              <w:t>（1）危险化学品仓库工艺：</w:t>
            </w:r>
          </w:p>
          <w:p>
            <w:pPr>
              <w:spacing w:line="360" w:lineRule="auto"/>
              <w:ind w:firstLine="420" w:firstLineChars="200"/>
              <w:jc w:val="center"/>
              <w:rPr>
                <w:color w:val="auto"/>
                <w:sz w:val="24"/>
              </w:rPr>
            </w:pPr>
            <w:r>
              <w:rPr>
                <w:color w:val="auto"/>
              </w:rPr>
              <w:drawing>
                <wp:inline distT="0" distB="0" distL="114300" distR="114300">
                  <wp:extent cx="5134610" cy="502285"/>
                  <wp:effectExtent l="0" t="0" r="8890" b="1206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5134610" cy="502285"/>
                          </a:xfrm>
                          <a:prstGeom prst="rect">
                            <a:avLst/>
                          </a:prstGeom>
                          <a:noFill/>
                          <a:ln>
                            <a:noFill/>
                          </a:ln>
                        </pic:spPr>
                      </pic:pic>
                    </a:graphicData>
                  </a:graphic>
                </wp:inline>
              </w:drawing>
            </w:r>
          </w:p>
          <w:p>
            <w:pPr>
              <w:spacing w:line="360" w:lineRule="auto"/>
              <w:ind w:firstLine="482" w:firstLineChars="200"/>
              <w:jc w:val="center"/>
              <w:rPr>
                <w:b/>
                <w:bCs/>
                <w:color w:val="auto"/>
                <w:sz w:val="24"/>
              </w:rPr>
            </w:pPr>
            <w:r>
              <w:rPr>
                <w:b/>
                <w:bCs/>
                <w:color w:val="auto"/>
                <w:sz w:val="24"/>
              </w:rPr>
              <w:t>图2-2</w:t>
            </w:r>
            <w:r>
              <w:rPr>
                <w:rFonts w:hint="eastAsia"/>
                <w:b/>
                <w:bCs/>
                <w:color w:val="auto"/>
                <w:sz w:val="24"/>
              </w:rPr>
              <w:t>危险化学品</w:t>
            </w:r>
            <w:r>
              <w:rPr>
                <w:b/>
                <w:bCs/>
                <w:color w:val="auto"/>
                <w:sz w:val="24"/>
              </w:rPr>
              <w:t>仓库贮存流程图</w:t>
            </w:r>
          </w:p>
          <w:p>
            <w:pPr>
              <w:spacing w:line="360" w:lineRule="auto"/>
              <w:ind w:firstLine="480" w:firstLineChars="200"/>
              <w:rPr>
                <w:color w:val="auto"/>
                <w:sz w:val="24"/>
              </w:rPr>
            </w:pPr>
            <w:r>
              <w:rPr>
                <w:color w:val="auto"/>
                <w:sz w:val="24"/>
              </w:rPr>
              <w:t>工艺流程简述：</w:t>
            </w:r>
          </w:p>
          <w:p>
            <w:pPr>
              <w:widowControl/>
              <w:spacing w:line="360" w:lineRule="auto"/>
              <w:ind w:firstLine="480" w:firstLineChars="200"/>
              <w:jc w:val="left"/>
              <w:rPr>
                <w:color w:val="auto"/>
                <w:kern w:val="0"/>
                <w:sz w:val="24"/>
              </w:rPr>
            </w:pPr>
            <w:r>
              <w:rPr>
                <w:color w:val="auto"/>
                <w:kern w:val="0"/>
                <w:sz w:val="24"/>
              </w:rPr>
              <w:t>入库：将外购的化学品通过车辆运输至厂区称重，称重后的化学品经电动叉车运输至化学品仓库贮存。须严格控制运输过程中化学品散落、泄漏，减少对环境影响。</w:t>
            </w:r>
          </w:p>
          <w:p>
            <w:pPr>
              <w:widowControl/>
              <w:spacing w:line="360" w:lineRule="auto"/>
              <w:ind w:firstLine="480" w:firstLineChars="200"/>
              <w:jc w:val="left"/>
              <w:rPr>
                <w:color w:val="auto"/>
                <w:kern w:val="0"/>
                <w:sz w:val="24"/>
              </w:rPr>
            </w:pPr>
            <w:r>
              <w:rPr>
                <w:color w:val="auto"/>
                <w:kern w:val="0"/>
                <w:sz w:val="24"/>
              </w:rPr>
              <w:t>分区贮存：根据化学品特性、防火要求及化学品安全技术说明书，将密闭桶装、袋装的化学品分类分区贮存，化学品均设置垫底高度不小于10cm的防渗漏托盘。落实化学品仓库管理，由专门人员进行管理，做好相应的记录台账。</w:t>
            </w:r>
          </w:p>
          <w:p>
            <w:pPr>
              <w:spacing w:line="360" w:lineRule="auto"/>
              <w:ind w:firstLine="480" w:firstLineChars="200"/>
              <w:jc w:val="left"/>
              <w:rPr>
                <w:color w:val="auto"/>
                <w:kern w:val="0"/>
                <w:sz w:val="24"/>
              </w:rPr>
            </w:pPr>
            <w:r>
              <w:rPr>
                <w:color w:val="auto"/>
                <w:kern w:val="0"/>
                <w:sz w:val="24"/>
              </w:rPr>
              <w:t>出库：根据生产需要，凭领用单进行领用出库，须严格控制运输过程中化学品散落、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93" w:hRule="atLeast"/>
          <w:jc w:val="center"/>
        </w:trPr>
        <w:tc>
          <w:tcPr>
            <w:tcW w:w="452" w:type="dxa"/>
            <w:noWrap/>
            <w:vAlign w:val="center"/>
          </w:tcPr>
          <w:p>
            <w:pPr>
              <w:pStyle w:val="16"/>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Cs/>
                <w:color w:val="auto"/>
                <w:kern w:val="2"/>
                <w:szCs w:val="24"/>
              </w:rPr>
              <w:t>与项目有关的原有环境污染问题</w:t>
            </w:r>
          </w:p>
        </w:tc>
        <w:tc>
          <w:tcPr>
            <w:tcW w:w="8628" w:type="dxa"/>
            <w:noWrap/>
            <w:vAlign w:val="center"/>
          </w:tcPr>
          <w:p>
            <w:pPr>
              <w:widowControl/>
              <w:numPr>
                <w:ilvl w:val="0"/>
                <w:numId w:val="8"/>
              </w:numPr>
              <w:spacing w:beforeLines="50" w:line="360" w:lineRule="auto"/>
              <w:jc w:val="left"/>
              <w:rPr>
                <w:b/>
                <w:bCs/>
                <w:color w:val="auto"/>
                <w:kern w:val="0"/>
                <w:sz w:val="24"/>
              </w:rPr>
            </w:pPr>
            <w:r>
              <w:rPr>
                <w:b/>
                <w:bCs/>
                <w:color w:val="auto"/>
                <w:kern w:val="0"/>
                <w:sz w:val="24"/>
              </w:rPr>
              <w:t>现有项目概况</w:t>
            </w:r>
          </w:p>
          <w:p>
            <w:pPr>
              <w:adjustRightInd w:val="0"/>
              <w:snapToGrid w:val="0"/>
              <w:spacing w:line="360" w:lineRule="auto"/>
              <w:ind w:firstLine="480" w:firstLineChars="200"/>
              <w:rPr>
                <w:color w:val="auto"/>
                <w:kern w:val="0"/>
                <w:sz w:val="24"/>
              </w:rPr>
            </w:pPr>
            <w:r>
              <w:rPr>
                <w:rFonts w:hint="eastAsia"/>
                <w:color w:val="auto"/>
                <w:kern w:val="0"/>
                <w:sz w:val="24"/>
              </w:rPr>
              <w:t>朴华（苏州）康复科技有限公司成立于2020年7月16日，位于</w:t>
            </w:r>
            <w:r>
              <w:rPr>
                <w:color w:val="auto"/>
                <w:sz w:val="24"/>
              </w:rPr>
              <w:t>常熟市东南街道庐山路68号</w:t>
            </w:r>
            <w:r>
              <w:rPr>
                <w:rFonts w:hint="eastAsia"/>
                <w:color w:val="auto"/>
                <w:kern w:val="0"/>
                <w:sz w:val="24"/>
              </w:rPr>
              <w:t>，经营范围包括：一般项目：第一类医疗器械生产；第一类医疗器械销售；非居住房地产租赁；技术服务、技术开发、技术咨询、技术交流、技术转让、技术推广；物业管理（除依法须经批准的项目外，凭营业执照依法自主开展经营活动）。</w:t>
            </w:r>
          </w:p>
          <w:p>
            <w:pPr>
              <w:widowControl/>
              <w:spacing w:line="360" w:lineRule="auto"/>
              <w:ind w:firstLine="480" w:firstLineChars="200"/>
              <w:jc w:val="left"/>
              <w:rPr>
                <w:color w:val="auto"/>
                <w:kern w:val="0"/>
                <w:sz w:val="24"/>
              </w:rPr>
            </w:pPr>
            <w:r>
              <w:rPr>
                <w:color w:val="auto"/>
                <w:kern w:val="0"/>
                <w:sz w:val="24"/>
              </w:rPr>
              <w:t>目前厂区人数</w:t>
            </w:r>
            <w:r>
              <w:rPr>
                <w:rFonts w:hint="eastAsia"/>
                <w:color w:val="auto"/>
                <w:kern w:val="0"/>
                <w:sz w:val="24"/>
              </w:rPr>
              <w:t>10人</w:t>
            </w:r>
            <w:r>
              <w:rPr>
                <w:color w:val="auto"/>
                <w:kern w:val="0"/>
                <w:sz w:val="24"/>
              </w:rPr>
              <w:t>。年生产</w:t>
            </w:r>
            <w:r>
              <w:rPr>
                <w:rFonts w:hint="eastAsia"/>
                <w:color w:val="auto"/>
                <w:kern w:val="0"/>
                <w:sz w:val="24"/>
              </w:rPr>
              <w:t>336</w:t>
            </w:r>
            <w:r>
              <w:rPr>
                <w:color w:val="auto"/>
                <w:kern w:val="0"/>
                <w:sz w:val="24"/>
              </w:rPr>
              <w:t>天，</w:t>
            </w:r>
            <w:r>
              <w:rPr>
                <w:rFonts w:hint="eastAsia"/>
                <w:color w:val="auto"/>
                <w:kern w:val="0"/>
                <w:sz w:val="24"/>
              </w:rPr>
              <w:t>3班制，每班8小时，</w:t>
            </w:r>
            <w:r>
              <w:rPr>
                <w:color w:val="auto"/>
                <w:kern w:val="0"/>
                <w:sz w:val="24"/>
              </w:rPr>
              <w:t>年运行时数</w:t>
            </w:r>
            <w:r>
              <w:rPr>
                <w:rFonts w:hint="eastAsia"/>
                <w:color w:val="auto"/>
                <w:kern w:val="0"/>
                <w:sz w:val="24"/>
              </w:rPr>
              <w:t>8064</w:t>
            </w:r>
            <w:r>
              <w:rPr>
                <w:color w:val="auto"/>
                <w:kern w:val="0"/>
                <w:sz w:val="24"/>
              </w:rPr>
              <w:t>小时。</w:t>
            </w:r>
          </w:p>
          <w:p>
            <w:pPr>
              <w:pStyle w:val="2"/>
              <w:spacing w:line="240" w:lineRule="auto"/>
              <w:jc w:val="center"/>
              <w:rPr>
                <w:rFonts w:ascii="Times New Roman" w:hAnsi="Times New Roman"/>
                <w:b/>
                <w:bCs w:val="0"/>
                <w:color w:val="auto"/>
                <w:sz w:val="21"/>
                <w:szCs w:val="21"/>
              </w:rPr>
            </w:pPr>
            <w:r>
              <w:rPr>
                <w:rFonts w:ascii="Times New Roman" w:hAnsi="Times New Roman"/>
                <w:b/>
                <w:bCs w:val="0"/>
                <w:color w:val="auto"/>
                <w:kern w:val="0"/>
                <w:sz w:val="21"/>
                <w:szCs w:val="21"/>
              </w:rPr>
              <w:t>表2-</w:t>
            </w:r>
            <w:r>
              <w:rPr>
                <w:rFonts w:hint="eastAsia" w:ascii="Times New Roman" w:hAnsi="Times New Roman"/>
                <w:b/>
                <w:bCs w:val="0"/>
                <w:color w:val="auto"/>
                <w:kern w:val="0"/>
                <w:sz w:val="21"/>
                <w:szCs w:val="21"/>
              </w:rPr>
              <w:t>8</w:t>
            </w:r>
            <w:r>
              <w:rPr>
                <w:rFonts w:ascii="Times New Roman" w:hAnsi="Times New Roman"/>
                <w:b/>
                <w:bCs w:val="0"/>
                <w:color w:val="auto"/>
                <w:kern w:val="0"/>
                <w:sz w:val="21"/>
                <w:szCs w:val="21"/>
              </w:rPr>
              <w:t>公司现有项目</w:t>
            </w:r>
            <w:r>
              <w:rPr>
                <w:rFonts w:hint="eastAsia" w:ascii="Times New Roman" w:hAnsi="Times New Roman"/>
                <w:b/>
                <w:bCs w:val="0"/>
                <w:color w:val="auto"/>
                <w:kern w:val="0"/>
                <w:sz w:val="21"/>
                <w:szCs w:val="21"/>
              </w:rPr>
              <w:t>产品方案表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2271"/>
              <w:gridCol w:w="1676"/>
              <w:gridCol w:w="1676"/>
              <w:gridCol w:w="1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81" w:type="dxa"/>
                  <w:vAlign w:val="center"/>
                </w:tcPr>
                <w:p>
                  <w:pPr>
                    <w:jc w:val="center"/>
                    <w:rPr>
                      <w:color w:val="auto"/>
                      <w:szCs w:val="21"/>
                    </w:rPr>
                  </w:pPr>
                  <w:r>
                    <w:rPr>
                      <w:rFonts w:hint="eastAsia"/>
                      <w:color w:val="auto"/>
                      <w:szCs w:val="21"/>
                    </w:rPr>
                    <w:t>序号</w:t>
                  </w:r>
                </w:p>
              </w:tc>
              <w:tc>
                <w:tcPr>
                  <w:tcW w:w="2271" w:type="dxa"/>
                  <w:vAlign w:val="center"/>
                </w:tcPr>
                <w:p>
                  <w:pPr>
                    <w:jc w:val="center"/>
                    <w:rPr>
                      <w:color w:val="auto"/>
                      <w:szCs w:val="21"/>
                    </w:rPr>
                  </w:pPr>
                  <w:r>
                    <w:rPr>
                      <w:rFonts w:hint="eastAsia"/>
                      <w:color w:val="auto"/>
                      <w:szCs w:val="21"/>
                    </w:rPr>
                    <w:t>产品名称</w:t>
                  </w:r>
                </w:p>
              </w:tc>
              <w:tc>
                <w:tcPr>
                  <w:tcW w:w="1676" w:type="dxa"/>
                  <w:vAlign w:val="center"/>
                </w:tcPr>
                <w:p>
                  <w:pPr>
                    <w:jc w:val="center"/>
                    <w:rPr>
                      <w:color w:val="auto"/>
                      <w:szCs w:val="21"/>
                    </w:rPr>
                  </w:pPr>
                  <w:r>
                    <w:rPr>
                      <w:rFonts w:hint="eastAsia"/>
                      <w:color w:val="auto"/>
                      <w:szCs w:val="21"/>
                    </w:rPr>
                    <w:t>环评产生量</w:t>
                  </w:r>
                </w:p>
              </w:tc>
              <w:tc>
                <w:tcPr>
                  <w:tcW w:w="1676" w:type="dxa"/>
                  <w:vAlign w:val="center"/>
                </w:tcPr>
                <w:p>
                  <w:pPr>
                    <w:jc w:val="center"/>
                    <w:rPr>
                      <w:color w:val="auto"/>
                      <w:szCs w:val="21"/>
                    </w:rPr>
                  </w:pPr>
                  <w:r>
                    <w:rPr>
                      <w:rFonts w:hint="eastAsia"/>
                      <w:color w:val="auto"/>
                      <w:szCs w:val="21"/>
                    </w:rPr>
                    <w:t>实际产生量</w:t>
                  </w:r>
                </w:p>
              </w:tc>
              <w:tc>
                <w:tcPr>
                  <w:tcW w:w="1677" w:type="dxa"/>
                  <w:vAlign w:val="center"/>
                </w:tcPr>
                <w:p>
                  <w:pPr>
                    <w:jc w:val="center"/>
                    <w:rPr>
                      <w:color w:val="auto"/>
                      <w:szCs w:val="21"/>
                    </w:rPr>
                  </w:pPr>
                  <w:r>
                    <w:rPr>
                      <w:rFonts w:hint="eastAsia"/>
                      <w:color w:val="auto"/>
                      <w:szCs w:val="21"/>
                    </w:rPr>
                    <w:t>年运行实数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81" w:type="dxa"/>
                  <w:vAlign w:val="center"/>
                </w:tcPr>
                <w:p>
                  <w:pPr>
                    <w:jc w:val="center"/>
                    <w:rPr>
                      <w:color w:val="auto"/>
                      <w:szCs w:val="21"/>
                    </w:rPr>
                  </w:pPr>
                  <w:r>
                    <w:rPr>
                      <w:rFonts w:hint="eastAsia"/>
                      <w:color w:val="auto"/>
                      <w:szCs w:val="21"/>
                    </w:rPr>
                    <w:t>1</w:t>
                  </w:r>
                </w:p>
              </w:tc>
              <w:tc>
                <w:tcPr>
                  <w:tcW w:w="2271" w:type="dxa"/>
                  <w:vAlign w:val="center"/>
                </w:tcPr>
                <w:p>
                  <w:pPr>
                    <w:jc w:val="center"/>
                    <w:rPr>
                      <w:color w:val="auto"/>
                      <w:szCs w:val="21"/>
                    </w:rPr>
                  </w:pPr>
                  <w:r>
                    <w:rPr>
                      <w:rFonts w:hint="eastAsia"/>
                      <w:color w:val="auto"/>
                      <w:szCs w:val="21"/>
                    </w:rPr>
                    <w:t>康复辅具</w:t>
                  </w:r>
                </w:p>
              </w:tc>
              <w:tc>
                <w:tcPr>
                  <w:tcW w:w="1676" w:type="dxa"/>
                  <w:vAlign w:val="center"/>
                </w:tcPr>
                <w:p>
                  <w:pPr>
                    <w:jc w:val="center"/>
                    <w:rPr>
                      <w:color w:val="auto"/>
                      <w:szCs w:val="21"/>
                    </w:rPr>
                  </w:pPr>
                  <w:r>
                    <w:rPr>
                      <w:rFonts w:hint="eastAsia"/>
                      <w:color w:val="auto"/>
                      <w:szCs w:val="21"/>
                    </w:rPr>
                    <w:t>10万套/a</w:t>
                  </w:r>
                </w:p>
              </w:tc>
              <w:tc>
                <w:tcPr>
                  <w:tcW w:w="1676" w:type="dxa"/>
                  <w:vAlign w:val="center"/>
                </w:tcPr>
                <w:p>
                  <w:pPr>
                    <w:jc w:val="center"/>
                    <w:rPr>
                      <w:color w:val="auto"/>
                      <w:szCs w:val="21"/>
                    </w:rPr>
                  </w:pPr>
                  <w:r>
                    <w:rPr>
                      <w:rFonts w:hint="eastAsia"/>
                      <w:color w:val="auto"/>
                      <w:szCs w:val="21"/>
                    </w:rPr>
                    <w:t>10万套/a</w:t>
                  </w:r>
                </w:p>
              </w:tc>
              <w:tc>
                <w:tcPr>
                  <w:tcW w:w="1677" w:type="dxa"/>
                  <w:vAlign w:val="center"/>
                </w:tcPr>
                <w:p>
                  <w:pPr>
                    <w:jc w:val="center"/>
                    <w:rPr>
                      <w:color w:val="auto"/>
                      <w:szCs w:val="21"/>
                    </w:rPr>
                  </w:pPr>
                  <w:r>
                    <w:rPr>
                      <w:rFonts w:hint="eastAsia"/>
                      <w:color w:val="auto"/>
                      <w:szCs w:val="21"/>
                    </w:rPr>
                    <w:t>8064</w:t>
                  </w:r>
                  <w:r>
                    <w:rPr>
                      <w:rFonts w:hint="eastAsia"/>
                      <w:color w:val="auto"/>
                    </w:rPr>
                    <w:t>h</w:t>
                  </w:r>
                </w:p>
              </w:tc>
            </w:tr>
          </w:tbl>
          <w:p>
            <w:pPr>
              <w:pStyle w:val="2"/>
              <w:spacing w:line="240" w:lineRule="auto"/>
              <w:jc w:val="center"/>
              <w:rPr>
                <w:rFonts w:ascii="Times New Roman" w:hAnsi="Times New Roman"/>
                <w:b/>
                <w:bCs w:val="0"/>
                <w:color w:val="auto"/>
                <w:sz w:val="21"/>
                <w:szCs w:val="21"/>
              </w:rPr>
            </w:pPr>
            <w:r>
              <w:rPr>
                <w:rFonts w:ascii="Times New Roman" w:hAnsi="Times New Roman"/>
                <w:b/>
                <w:bCs w:val="0"/>
                <w:color w:val="auto"/>
                <w:kern w:val="0"/>
                <w:sz w:val="21"/>
                <w:szCs w:val="21"/>
              </w:rPr>
              <w:t>表2</w:t>
            </w:r>
            <w:r>
              <w:rPr>
                <w:rFonts w:hint="eastAsia" w:ascii="Times New Roman" w:hAnsi="Times New Roman"/>
                <w:b/>
                <w:bCs w:val="0"/>
                <w:color w:val="auto"/>
                <w:kern w:val="0"/>
                <w:sz w:val="21"/>
                <w:szCs w:val="21"/>
              </w:rPr>
              <w:t>-9</w:t>
            </w:r>
            <w:r>
              <w:rPr>
                <w:rFonts w:ascii="Times New Roman" w:hAnsi="Times New Roman"/>
                <w:b/>
                <w:bCs w:val="0"/>
                <w:color w:val="auto"/>
                <w:kern w:val="0"/>
                <w:sz w:val="21"/>
                <w:szCs w:val="21"/>
              </w:rPr>
              <w:t>公司现有项目</w:t>
            </w:r>
            <w:r>
              <w:rPr>
                <w:rFonts w:hint="eastAsia" w:ascii="Times New Roman" w:hAnsi="Times New Roman"/>
                <w:b/>
                <w:bCs w:val="0"/>
                <w:color w:val="auto"/>
                <w:kern w:val="0"/>
                <w:sz w:val="21"/>
                <w:szCs w:val="21"/>
              </w:rPr>
              <w:t>主体构筑物</w:t>
            </w:r>
            <w:r>
              <w:rPr>
                <w:rFonts w:ascii="Times New Roman" w:hAnsi="Times New Roman"/>
                <w:b/>
                <w:bCs w:val="0"/>
                <w:color w:val="auto"/>
                <w:kern w:val="0"/>
                <w:sz w:val="21"/>
                <w:szCs w:val="21"/>
              </w:rPr>
              <w:t>一览表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105"/>
              <w:gridCol w:w="1213"/>
              <w:gridCol w:w="1187"/>
              <w:gridCol w:w="1736"/>
              <w:gridCol w:w="1197"/>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jc w:val="center"/>
                    <w:rPr>
                      <w:color w:val="auto"/>
                      <w:szCs w:val="21"/>
                    </w:rPr>
                  </w:pPr>
                  <w:r>
                    <w:rPr>
                      <w:color w:val="auto"/>
                      <w:szCs w:val="21"/>
                    </w:rPr>
                    <w:t>序号</w:t>
                  </w:r>
                </w:p>
              </w:tc>
              <w:tc>
                <w:tcPr>
                  <w:tcW w:w="1105" w:type="dxa"/>
                  <w:vAlign w:val="center"/>
                </w:tcPr>
                <w:p>
                  <w:pPr>
                    <w:jc w:val="center"/>
                    <w:rPr>
                      <w:color w:val="auto"/>
                      <w:szCs w:val="21"/>
                    </w:rPr>
                  </w:pPr>
                  <w:r>
                    <w:rPr>
                      <w:color w:val="auto"/>
                      <w:szCs w:val="21"/>
                    </w:rPr>
                    <w:t>建筑物名称</w:t>
                  </w:r>
                </w:p>
              </w:tc>
              <w:tc>
                <w:tcPr>
                  <w:tcW w:w="1213" w:type="dxa"/>
                  <w:vAlign w:val="center"/>
                </w:tcPr>
                <w:p>
                  <w:pPr>
                    <w:jc w:val="center"/>
                    <w:rPr>
                      <w:color w:val="auto"/>
                      <w:szCs w:val="21"/>
                    </w:rPr>
                  </w:pPr>
                  <w:r>
                    <w:rPr>
                      <w:color w:val="auto"/>
                      <w:szCs w:val="21"/>
                    </w:rPr>
                    <w:t>占地面积</w:t>
                  </w:r>
                  <w:r>
                    <w:rPr>
                      <w:rFonts w:hint="eastAsia"/>
                      <w:color w:val="auto"/>
                      <w:szCs w:val="21"/>
                    </w:rPr>
                    <w:t>（m</w:t>
                  </w:r>
                  <w:r>
                    <w:rPr>
                      <w:rFonts w:hint="eastAsia"/>
                      <w:color w:val="auto"/>
                      <w:szCs w:val="21"/>
                      <w:vertAlign w:val="superscript"/>
                    </w:rPr>
                    <w:t>2</w:t>
                  </w:r>
                  <w:r>
                    <w:rPr>
                      <w:rFonts w:hint="eastAsia"/>
                      <w:color w:val="auto"/>
                      <w:szCs w:val="21"/>
                    </w:rPr>
                    <w:t>）</w:t>
                  </w:r>
                </w:p>
              </w:tc>
              <w:tc>
                <w:tcPr>
                  <w:tcW w:w="1187" w:type="dxa"/>
                  <w:vAlign w:val="center"/>
                </w:tcPr>
                <w:p>
                  <w:pPr>
                    <w:jc w:val="center"/>
                    <w:rPr>
                      <w:color w:val="auto"/>
                      <w:szCs w:val="21"/>
                    </w:rPr>
                  </w:pPr>
                  <w:r>
                    <w:rPr>
                      <w:color w:val="auto"/>
                      <w:szCs w:val="21"/>
                    </w:rPr>
                    <w:t>建筑面积</w:t>
                  </w:r>
                  <w:r>
                    <w:rPr>
                      <w:rFonts w:hint="eastAsia"/>
                      <w:color w:val="auto"/>
                      <w:szCs w:val="21"/>
                    </w:rPr>
                    <w:t>（m</w:t>
                  </w:r>
                  <w:r>
                    <w:rPr>
                      <w:rFonts w:hint="eastAsia"/>
                      <w:color w:val="auto"/>
                      <w:szCs w:val="21"/>
                      <w:vertAlign w:val="superscript"/>
                    </w:rPr>
                    <w:t>2</w:t>
                  </w:r>
                  <w:r>
                    <w:rPr>
                      <w:rFonts w:hint="eastAsia"/>
                      <w:color w:val="auto"/>
                      <w:szCs w:val="21"/>
                    </w:rPr>
                    <w:t>）</w:t>
                  </w:r>
                </w:p>
              </w:tc>
              <w:tc>
                <w:tcPr>
                  <w:tcW w:w="1736" w:type="dxa"/>
                  <w:vAlign w:val="center"/>
                </w:tcPr>
                <w:p>
                  <w:pPr>
                    <w:jc w:val="center"/>
                    <w:rPr>
                      <w:color w:val="auto"/>
                      <w:szCs w:val="21"/>
                    </w:rPr>
                  </w:pPr>
                  <w:r>
                    <w:rPr>
                      <w:color w:val="auto"/>
                      <w:szCs w:val="21"/>
                    </w:rPr>
                    <w:t>层数</w:t>
                  </w:r>
                  <w:r>
                    <w:rPr>
                      <w:rFonts w:hint="eastAsia"/>
                      <w:color w:val="auto"/>
                      <w:szCs w:val="21"/>
                    </w:rPr>
                    <w:t>/层高（m）</w:t>
                  </w:r>
                </w:p>
              </w:tc>
              <w:tc>
                <w:tcPr>
                  <w:tcW w:w="1197" w:type="dxa"/>
                  <w:vAlign w:val="center"/>
                </w:tcPr>
                <w:p>
                  <w:pPr>
                    <w:jc w:val="center"/>
                    <w:rPr>
                      <w:color w:val="auto"/>
                      <w:szCs w:val="21"/>
                    </w:rPr>
                  </w:pPr>
                  <w:r>
                    <w:rPr>
                      <w:color w:val="auto"/>
                      <w:szCs w:val="21"/>
                    </w:rPr>
                    <w:t>火灾危险类别</w:t>
                  </w:r>
                </w:p>
              </w:tc>
              <w:tc>
                <w:tcPr>
                  <w:tcW w:w="1200" w:type="dxa"/>
                  <w:vAlign w:val="center"/>
                </w:tcPr>
                <w:p>
                  <w:pPr>
                    <w:jc w:val="center"/>
                    <w:rPr>
                      <w:color w:val="auto"/>
                      <w:szCs w:val="21"/>
                    </w:rPr>
                  </w:pPr>
                  <w:r>
                    <w:rPr>
                      <w:color w:val="auto"/>
                      <w:szCs w:val="21"/>
                    </w:rPr>
                    <w:t>耐火等级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color w:val="auto"/>
                      <w:kern w:val="0"/>
                      <w:szCs w:val="21"/>
                    </w:rPr>
                  </w:pPr>
                  <w:r>
                    <w:rPr>
                      <w:rFonts w:hint="eastAsia"/>
                      <w:color w:val="auto"/>
                      <w:kern w:val="0"/>
                      <w:szCs w:val="21"/>
                    </w:rPr>
                    <w:t>1</w:t>
                  </w:r>
                </w:p>
              </w:tc>
              <w:tc>
                <w:tcPr>
                  <w:tcW w:w="1105" w:type="dxa"/>
                  <w:vAlign w:val="center"/>
                </w:tcPr>
                <w:p>
                  <w:pPr>
                    <w:widowControl/>
                    <w:spacing w:line="360" w:lineRule="auto"/>
                    <w:jc w:val="center"/>
                    <w:rPr>
                      <w:color w:val="auto"/>
                      <w:kern w:val="0"/>
                      <w:szCs w:val="21"/>
                    </w:rPr>
                  </w:pPr>
                  <w:r>
                    <w:rPr>
                      <w:rFonts w:hint="eastAsia"/>
                      <w:color w:val="auto"/>
                      <w:kern w:val="0"/>
                      <w:szCs w:val="21"/>
                    </w:rPr>
                    <w:t>车间一</w:t>
                  </w:r>
                </w:p>
              </w:tc>
              <w:tc>
                <w:tcPr>
                  <w:tcW w:w="1213" w:type="dxa"/>
                  <w:vAlign w:val="center"/>
                </w:tcPr>
                <w:p>
                  <w:pPr>
                    <w:widowControl/>
                    <w:spacing w:line="360" w:lineRule="auto"/>
                    <w:jc w:val="center"/>
                    <w:rPr>
                      <w:color w:val="auto"/>
                      <w:kern w:val="0"/>
                      <w:szCs w:val="21"/>
                    </w:rPr>
                  </w:pPr>
                  <w:r>
                    <w:rPr>
                      <w:rFonts w:hint="eastAsia"/>
                      <w:color w:val="auto"/>
                      <w:kern w:val="0"/>
                      <w:szCs w:val="21"/>
                    </w:rPr>
                    <w:t>5900</w:t>
                  </w:r>
                </w:p>
              </w:tc>
              <w:tc>
                <w:tcPr>
                  <w:tcW w:w="1187" w:type="dxa"/>
                  <w:vAlign w:val="center"/>
                </w:tcPr>
                <w:p>
                  <w:pPr>
                    <w:widowControl/>
                    <w:spacing w:line="360" w:lineRule="auto"/>
                    <w:jc w:val="center"/>
                    <w:rPr>
                      <w:color w:val="auto"/>
                      <w:kern w:val="0"/>
                      <w:szCs w:val="21"/>
                    </w:rPr>
                  </w:pPr>
                  <w:r>
                    <w:rPr>
                      <w:rFonts w:hint="eastAsia"/>
                      <w:color w:val="auto"/>
                      <w:kern w:val="0"/>
                      <w:szCs w:val="21"/>
                    </w:rPr>
                    <w:t>6800</w:t>
                  </w:r>
                </w:p>
              </w:tc>
              <w:tc>
                <w:tcPr>
                  <w:tcW w:w="1736" w:type="dxa"/>
                  <w:vAlign w:val="center"/>
                </w:tcPr>
                <w:p>
                  <w:pPr>
                    <w:widowControl/>
                    <w:spacing w:line="360" w:lineRule="auto"/>
                    <w:jc w:val="center"/>
                    <w:rPr>
                      <w:color w:val="auto"/>
                      <w:kern w:val="0"/>
                      <w:szCs w:val="21"/>
                    </w:rPr>
                  </w:pPr>
                  <w:r>
                    <w:rPr>
                      <w:rFonts w:hint="eastAsia"/>
                      <w:color w:val="auto"/>
                      <w:kern w:val="0"/>
                      <w:szCs w:val="21"/>
                    </w:rPr>
                    <w:t>1（局部夹层）/层高15.8m</w:t>
                  </w:r>
                </w:p>
              </w:tc>
              <w:tc>
                <w:tcPr>
                  <w:tcW w:w="1197" w:type="dxa"/>
                  <w:vAlign w:val="center"/>
                </w:tcPr>
                <w:p>
                  <w:pPr>
                    <w:widowControl/>
                    <w:spacing w:line="360" w:lineRule="auto"/>
                    <w:jc w:val="center"/>
                    <w:rPr>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color w:val="auto"/>
                      <w:kern w:val="0"/>
                      <w:szCs w:val="21"/>
                    </w:rPr>
                  </w:pPr>
                  <w:r>
                    <w:rPr>
                      <w:rFonts w:hint="eastAsia"/>
                      <w:color w:val="auto"/>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color w:val="auto"/>
                      <w:kern w:val="0"/>
                      <w:szCs w:val="21"/>
                    </w:rPr>
                  </w:pPr>
                  <w:r>
                    <w:rPr>
                      <w:rFonts w:hint="eastAsia"/>
                      <w:color w:val="auto"/>
                      <w:kern w:val="0"/>
                      <w:szCs w:val="21"/>
                    </w:rPr>
                    <w:t>其中：1.1</w:t>
                  </w:r>
                </w:p>
              </w:tc>
              <w:tc>
                <w:tcPr>
                  <w:tcW w:w="1105" w:type="dxa"/>
                  <w:vAlign w:val="center"/>
                </w:tcPr>
                <w:p>
                  <w:pPr>
                    <w:widowControl/>
                    <w:spacing w:line="360" w:lineRule="auto"/>
                    <w:jc w:val="center"/>
                    <w:rPr>
                      <w:color w:val="auto"/>
                      <w:kern w:val="0"/>
                      <w:szCs w:val="21"/>
                    </w:rPr>
                  </w:pPr>
                  <w:r>
                    <w:rPr>
                      <w:rFonts w:hint="eastAsia"/>
                      <w:color w:val="auto"/>
                      <w:kern w:val="0"/>
                      <w:szCs w:val="21"/>
                    </w:rPr>
                    <w:t>成品仓库</w:t>
                  </w:r>
                </w:p>
              </w:tc>
              <w:tc>
                <w:tcPr>
                  <w:tcW w:w="1213" w:type="dxa"/>
                  <w:vAlign w:val="center"/>
                </w:tcPr>
                <w:p>
                  <w:pPr>
                    <w:widowControl/>
                    <w:spacing w:line="360" w:lineRule="auto"/>
                    <w:jc w:val="center"/>
                    <w:rPr>
                      <w:color w:val="auto"/>
                      <w:kern w:val="0"/>
                      <w:szCs w:val="21"/>
                    </w:rPr>
                  </w:pPr>
                  <w:r>
                    <w:rPr>
                      <w:rFonts w:hint="eastAsia"/>
                      <w:color w:val="auto"/>
                      <w:kern w:val="0"/>
                      <w:szCs w:val="21"/>
                    </w:rPr>
                    <w:t>300</w:t>
                  </w:r>
                </w:p>
              </w:tc>
              <w:tc>
                <w:tcPr>
                  <w:tcW w:w="1187" w:type="dxa"/>
                  <w:vAlign w:val="center"/>
                </w:tcPr>
                <w:p>
                  <w:pPr>
                    <w:widowControl/>
                    <w:spacing w:line="360" w:lineRule="auto"/>
                    <w:jc w:val="center"/>
                    <w:rPr>
                      <w:color w:val="auto"/>
                      <w:kern w:val="0"/>
                      <w:szCs w:val="21"/>
                    </w:rPr>
                  </w:pPr>
                  <w:r>
                    <w:rPr>
                      <w:rFonts w:hint="eastAsia"/>
                      <w:color w:val="auto"/>
                      <w:kern w:val="0"/>
                      <w:szCs w:val="21"/>
                    </w:rPr>
                    <w:t>300</w:t>
                  </w:r>
                </w:p>
              </w:tc>
              <w:tc>
                <w:tcPr>
                  <w:tcW w:w="1736" w:type="dxa"/>
                  <w:vAlign w:val="center"/>
                </w:tcPr>
                <w:p>
                  <w:pPr>
                    <w:widowControl/>
                    <w:spacing w:line="360" w:lineRule="auto"/>
                    <w:jc w:val="center"/>
                    <w:rPr>
                      <w:color w:val="auto"/>
                      <w:kern w:val="0"/>
                      <w:szCs w:val="21"/>
                    </w:rPr>
                  </w:pPr>
                  <w:r>
                    <w:rPr>
                      <w:rFonts w:hint="eastAsia"/>
                      <w:color w:val="auto"/>
                      <w:kern w:val="0"/>
                      <w:szCs w:val="21"/>
                    </w:rPr>
                    <w:t>/</w:t>
                  </w:r>
                </w:p>
              </w:tc>
              <w:tc>
                <w:tcPr>
                  <w:tcW w:w="1197" w:type="dxa"/>
                  <w:vAlign w:val="center"/>
                </w:tcPr>
                <w:p>
                  <w:pPr>
                    <w:widowControl/>
                    <w:spacing w:line="360" w:lineRule="auto"/>
                    <w:jc w:val="center"/>
                    <w:rPr>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color w:val="auto"/>
                      <w:kern w:val="0"/>
                      <w:szCs w:val="21"/>
                    </w:rPr>
                  </w:pPr>
                  <w:r>
                    <w:rPr>
                      <w:rFonts w:hint="eastAsia"/>
                      <w:color w:val="auto"/>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color w:val="auto"/>
                      <w:kern w:val="0"/>
                      <w:szCs w:val="21"/>
                    </w:rPr>
                  </w:pPr>
                  <w:r>
                    <w:rPr>
                      <w:rFonts w:hint="eastAsia"/>
                      <w:color w:val="auto"/>
                      <w:kern w:val="0"/>
                      <w:szCs w:val="21"/>
                    </w:rPr>
                    <w:t>1.2</w:t>
                  </w:r>
                </w:p>
              </w:tc>
              <w:tc>
                <w:tcPr>
                  <w:tcW w:w="1105" w:type="dxa"/>
                  <w:vAlign w:val="center"/>
                </w:tcPr>
                <w:p>
                  <w:pPr>
                    <w:widowControl/>
                    <w:spacing w:line="360" w:lineRule="auto"/>
                    <w:jc w:val="center"/>
                    <w:rPr>
                      <w:color w:val="auto"/>
                      <w:kern w:val="0"/>
                      <w:szCs w:val="21"/>
                    </w:rPr>
                  </w:pPr>
                  <w:r>
                    <w:rPr>
                      <w:rFonts w:hint="eastAsia"/>
                      <w:color w:val="auto"/>
                      <w:kern w:val="0"/>
                      <w:szCs w:val="21"/>
                    </w:rPr>
                    <w:t>原料仓库</w:t>
                  </w:r>
                </w:p>
              </w:tc>
              <w:tc>
                <w:tcPr>
                  <w:tcW w:w="1213" w:type="dxa"/>
                  <w:vAlign w:val="center"/>
                </w:tcPr>
                <w:p>
                  <w:pPr>
                    <w:widowControl/>
                    <w:spacing w:line="360" w:lineRule="auto"/>
                    <w:jc w:val="center"/>
                    <w:rPr>
                      <w:color w:val="auto"/>
                      <w:kern w:val="0"/>
                      <w:szCs w:val="21"/>
                    </w:rPr>
                  </w:pPr>
                  <w:r>
                    <w:rPr>
                      <w:rFonts w:hint="eastAsia"/>
                      <w:color w:val="auto"/>
                      <w:kern w:val="0"/>
                      <w:szCs w:val="21"/>
                    </w:rPr>
                    <w:t>200</w:t>
                  </w:r>
                </w:p>
              </w:tc>
              <w:tc>
                <w:tcPr>
                  <w:tcW w:w="1187" w:type="dxa"/>
                  <w:vAlign w:val="center"/>
                </w:tcPr>
                <w:p>
                  <w:pPr>
                    <w:widowControl/>
                    <w:spacing w:line="360" w:lineRule="auto"/>
                    <w:jc w:val="center"/>
                    <w:rPr>
                      <w:color w:val="auto"/>
                      <w:kern w:val="0"/>
                      <w:szCs w:val="21"/>
                    </w:rPr>
                  </w:pPr>
                  <w:r>
                    <w:rPr>
                      <w:rFonts w:hint="eastAsia"/>
                      <w:color w:val="auto"/>
                      <w:kern w:val="0"/>
                      <w:szCs w:val="21"/>
                    </w:rPr>
                    <w:t>200</w:t>
                  </w:r>
                </w:p>
              </w:tc>
              <w:tc>
                <w:tcPr>
                  <w:tcW w:w="1736" w:type="dxa"/>
                  <w:vAlign w:val="center"/>
                </w:tcPr>
                <w:p>
                  <w:pPr>
                    <w:widowControl/>
                    <w:spacing w:line="360" w:lineRule="auto"/>
                    <w:jc w:val="center"/>
                    <w:rPr>
                      <w:color w:val="auto"/>
                      <w:kern w:val="0"/>
                      <w:szCs w:val="21"/>
                    </w:rPr>
                  </w:pPr>
                  <w:r>
                    <w:rPr>
                      <w:rFonts w:hint="eastAsia"/>
                      <w:color w:val="auto"/>
                      <w:kern w:val="0"/>
                      <w:szCs w:val="21"/>
                    </w:rPr>
                    <w:t>/</w:t>
                  </w:r>
                </w:p>
              </w:tc>
              <w:tc>
                <w:tcPr>
                  <w:tcW w:w="1197" w:type="dxa"/>
                  <w:vAlign w:val="center"/>
                </w:tcPr>
                <w:p>
                  <w:pPr>
                    <w:widowControl/>
                    <w:spacing w:line="360" w:lineRule="auto"/>
                    <w:jc w:val="center"/>
                    <w:rPr>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color w:val="auto"/>
                      <w:kern w:val="0"/>
                      <w:szCs w:val="21"/>
                    </w:rPr>
                  </w:pPr>
                  <w:r>
                    <w:rPr>
                      <w:rFonts w:hint="eastAsia"/>
                      <w:color w:val="auto"/>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rFonts w:hint="default" w:eastAsia="宋体"/>
                      <w:color w:val="auto"/>
                      <w:kern w:val="0"/>
                      <w:szCs w:val="21"/>
                      <w:lang w:val="en-US" w:eastAsia="zh-CN"/>
                    </w:rPr>
                  </w:pPr>
                  <w:r>
                    <w:rPr>
                      <w:rFonts w:hint="eastAsia"/>
                      <w:color w:val="auto"/>
                      <w:kern w:val="0"/>
                      <w:szCs w:val="21"/>
                      <w:lang w:val="en-US" w:eastAsia="zh-CN"/>
                    </w:rPr>
                    <w:t>1.3</w:t>
                  </w:r>
                </w:p>
              </w:tc>
              <w:tc>
                <w:tcPr>
                  <w:tcW w:w="1105" w:type="dxa"/>
                  <w:vAlign w:val="center"/>
                </w:tcPr>
                <w:p>
                  <w:pPr>
                    <w:widowControl/>
                    <w:spacing w:line="360" w:lineRule="auto"/>
                    <w:jc w:val="center"/>
                    <w:rPr>
                      <w:rFonts w:hint="eastAsia" w:eastAsia="宋体"/>
                      <w:color w:val="auto"/>
                      <w:kern w:val="0"/>
                      <w:szCs w:val="21"/>
                      <w:lang w:eastAsia="zh-CN"/>
                    </w:rPr>
                  </w:pPr>
                  <w:r>
                    <w:rPr>
                      <w:rFonts w:hint="eastAsia"/>
                      <w:color w:val="auto"/>
                      <w:kern w:val="0"/>
                      <w:szCs w:val="21"/>
                      <w:lang w:eastAsia="zh-CN"/>
                    </w:rPr>
                    <w:t>一般固废仓库</w:t>
                  </w:r>
                </w:p>
              </w:tc>
              <w:tc>
                <w:tcPr>
                  <w:tcW w:w="1213" w:type="dxa"/>
                  <w:vAlign w:val="center"/>
                </w:tcPr>
                <w:p>
                  <w:pPr>
                    <w:widowControl/>
                    <w:spacing w:line="360" w:lineRule="auto"/>
                    <w:jc w:val="center"/>
                    <w:rPr>
                      <w:rFonts w:hint="default" w:eastAsia="宋体"/>
                      <w:color w:val="auto"/>
                      <w:kern w:val="0"/>
                      <w:szCs w:val="21"/>
                      <w:lang w:val="en-US" w:eastAsia="zh-CN"/>
                    </w:rPr>
                  </w:pPr>
                  <w:r>
                    <w:rPr>
                      <w:rFonts w:hint="eastAsia"/>
                      <w:color w:val="auto"/>
                      <w:kern w:val="0"/>
                      <w:szCs w:val="21"/>
                      <w:lang w:val="en-US" w:eastAsia="zh-CN"/>
                    </w:rPr>
                    <w:t>30</w:t>
                  </w:r>
                </w:p>
              </w:tc>
              <w:tc>
                <w:tcPr>
                  <w:tcW w:w="1187" w:type="dxa"/>
                  <w:vAlign w:val="center"/>
                </w:tcPr>
                <w:p>
                  <w:pPr>
                    <w:widowControl/>
                    <w:spacing w:line="360" w:lineRule="auto"/>
                    <w:jc w:val="center"/>
                    <w:rPr>
                      <w:rFonts w:hint="default" w:eastAsia="宋体"/>
                      <w:color w:val="auto"/>
                      <w:kern w:val="0"/>
                      <w:szCs w:val="21"/>
                      <w:lang w:val="en-US" w:eastAsia="zh-CN"/>
                    </w:rPr>
                  </w:pPr>
                  <w:r>
                    <w:rPr>
                      <w:rFonts w:hint="eastAsia"/>
                      <w:color w:val="auto"/>
                      <w:kern w:val="0"/>
                      <w:szCs w:val="21"/>
                      <w:lang w:val="en-US" w:eastAsia="zh-CN"/>
                    </w:rPr>
                    <w:t>30</w:t>
                  </w:r>
                </w:p>
              </w:tc>
              <w:tc>
                <w:tcPr>
                  <w:tcW w:w="1736" w:type="dxa"/>
                  <w:vAlign w:val="center"/>
                </w:tcPr>
                <w:p>
                  <w:pPr>
                    <w:widowControl/>
                    <w:spacing w:line="360" w:lineRule="auto"/>
                    <w:jc w:val="center"/>
                    <w:rPr>
                      <w:rFonts w:hint="eastAsia" w:eastAsia="宋体"/>
                      <w:color w:val="auto"/>
                      <w:kern w:val="0"/>
                      <w:szCs w:val="21"/>
                      <w:lang w:val="en-US" w:eastAsia="zh-CN"/>
                    </w:rPr>
                  </w:pPr>
                  <w:r>
                    <w:rPr>
                      <w:rFonts w:hint="eastAsia"/>
                      <w:color w:val="auto"/>
                      <w:kern w:val="0"/>
                      <w:szCs w:val="21"/>
                      <w:lang w:val="en-US" w:eastAsia="zh-CN"/>
                    </w:rPr>
                    <w:t>/</w:t>
                  </w:r>
                </w:p>
              </w:tc>
              <w:tc>
                <w:tcPr>
                  <w:tcW w:w="1197" w:type="dxa"/>
                  <w:vAlign w:val="center"/>
                </w:tcPr>
                <w:p>
                  <w:pPr>
                    <w:widowControl/>
                    <w:spacing w:line="360" w:lineRule="auto"/>
                    <w:jc w:val="center"/>
                    <w:rPr>
                      <w:rFonts w:hint="eastAsia"/>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rFonts w:hint="eastAsia"/>
                      <w:color w:val="auto"/>
                      <w:kern w:val="0"/>
                      <w:szCs w:val="21"/>
                    </w:rPr>
                  </w:pPr>
                  <w:r>
                    <w:rPr>
                      <w:rFonts w:hint="eastAsia"/>
                      <w:color w:val="auto"/>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color w:val="auto"/>
                      <w:kern w:val="0"/>
                      <w:szCs w:val="21"/>
                    </w:rPr>
                  </w:pPr>
                  <w:r>
                    <w:rPr>
                      <w:color w:val="auto"/>
                      <w:kern w:val="0"/>
                      <w:szCs w:val="21"/>
                    </w:rPr>
                    <w:t>2</w:t>
                  </w:r>
                </w:p>
              </w:tc>
              <w:tc>
                <w:tcPr>
                  <w:tcW w:w="1105" w:type="dxa"/>
                  <w:vAlign w:val="center"/>
                </w:tcPr>
                <w:p>
                  <w:pPr>
                    <w:widowControl/>
                    <w:spacing w:line="360" w:lineRule="auto"/>
                    <w:jc w:val="center"/>
                    <w:rPr>
                      <w:color w:val="auto"/>
                      <w:kern w:val="0"/>
                      <w:szCs w:val="21"/>
                    </w:rPr>
                  </w:pPr>
                  <w:r>
                    <w:rPr>
                      <w:rFonts w:hint="eastAsia"/>
                      <w:color w:val="auto"/>
                      <w:kern w:val="0"/>
                      <w:szCs w:val="21"/>
                    </w:rPr>
                    <w:t>车间二</w:t>
                  </w:r>
                </w:p>
              </w:tc>
              <w:tc>
                <w:tcPr>
                  <w:tcW w:w="1213" w:type="dxa"/>
                  <w:vAlign w:val="center"/>
                </w:tcPr>
                <w:p>
                  <w:pPr>
                    <w:widowControl/>
                    <w:spacing w:line="360" w:lineRule="auto"/>
                    <w:jc w:val="center"/>
                    <w:rPr>
                      <w:color w:val="auto"/>
                      <w:kern w:val="0"/>
                      <w:szCs w:val="21"/>
                    </w:rPr>
                  </w:pPr>
                  <w:r>
                    <w:rPr>
                      <w:rFonts w:hint="eastAsia"/>
                      <w:color w:val="auto"/>
                      <w:kern w:val="0"/>
                      <w:szCs w:val="21"/>
                    </w:rPr>
                    <w:t>6000</w:t>
                  </w:r>
                </w:p>
              </w:tc>
              <w:tc>
                <w:tcPr>
                  <w:tcW w:w="1187" w:type="dxa"/>
                  <w:vAlign w:val="center"/>
                </w:tcPr>
                <w:p>
                  <w:pPr>
                    <w:widowControl/>
                    <w:spacing w:line="360" w:lineRule="auto"/>
                    <w:jc w:val="center"/>
                    <w:rPr>
                      <w:color w:val="auto"/>
                      <w:kern w:val="0"/>
                      <w:szCs w:val="21"/>
                    </w:rPr>
                  </w:pPr>
                  <w:r>
                    <w:rPr>
                      <w:rFonts w:hint="eastAsia"/>
                      <w:color w:val="auto"/>
                      <w:kern w:val="0"/>
                      <w:szCs w:val="21"/>
                    </w:rPr>
                    <w:t>6800</w:t>
                  </w:r>
                </w:p>
              </w:tc>
              <w:tc>
                <w:tcPr>
                  <w:tcW w:w="1736" w:type="dxa"/>
                  <w:vAlign w:val="center"/>
                </w:tcPr>
                <w:p>
                  <w:pPr>
                    <w:widowControl/>
                    <w:spacing w:line="360" w:lineRule="auto"/>
                    <w:jc w:val="center"/>
                    <w:rPr>
                      <w:color w:val="auto"/>
                      <w:kern w:val="0"/>
                      <w:szCs w:val="21"/>
                    </w:rPr>
                  </w:pPr>
                  <w:r>
                    <w:rPr>
                      <w:rFonts w:hint="eastAsia"/>
                      <w:color w:val="auto"/>
                      <w:kern w:val="0"/>
                      <w:szCs w:val="21"/>
                    </w:rPr>
                    <w:t>1（局部夹层）/层高15.8m</w:t>
                  </w:r>
                </w:p>
              </w:tc>
              <w:tc>
                <w:tcPr>
                  <w:tcW w:w="1197" w:type="dxa"/>
                  <w:vAlign w:val="center"/>
                </w:tcPr>
                <w:p>
                  <w:pPr>
                    <w:widowControl/>
                    <w:spacing w:line="360" w:lineRule="auto"/>
                    <w:jc w:val="center"/>
                    <w:rPr>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color w:val="auto"/>
                      <w:kern w:val="0"/>
                      <w:szCs w:val="21"/>
                    </w:rPr>
                  </w:pPr>
                  <w:r>
                    <w:rPr>
                      <w:rFonts w:hint="eastAsia"/>
                      <w:color w:val="auto"/>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color w:val="auto"/>
                      <w:kern w:val="0"/>
                      <w:szCs w:val="21"/>
                    </w:rPr>
                  </w:pPr>
                  <w:r>
                    <w:rPr>
                      <w:rFonts w:hint="eastAsia"/>
                      <w:color w:val="auto"/>
                      <w:kern w:val="0"/>
                      <w:szCs w:val="21"/>
                    </w:rPr>
                    <w:t>3</w:t>
                  </w:r>
                </w:p>
              </w:tc>
              <w:tc>
                <w:tcPr>
                  <w:tcW w:w="1105" w:type="dxa"/>
                  <w:vAlign w:val="center"/>
                </w:tcPr>
                <w:p>
                  <w:pPr>
                    <w:widowControl/>
                    <w:spacing w:line="360" w:lineRule="auto"/>
                    <w:jc w:val="center"/>
                    <w:rPr>
                      <w:color w:val="auto"/>
                      <w:kern w:val="0"/>
                      <w:szCs w:val="21"/>
                    </w:rPr>
                  </w:pPr>
                  <w:r>
                    <w:rPr>
                      <w:rFonts w:hint="eastAsia"/>
                      <w:color w:val="auto"/>
                      <w:kern w:val="0"/>
                      <w:szCs w:val="21"/>
                    </w:rPr>
                    <w:t>车间三</w:t>
                  </w:r>
                </w:p>
              </w:tc>
              <w:tc>
                <w:tcPr>
                  <w:tcW w:w="1213" w:type="dxa"/>
                  <w:vAlign w:val="center"/>
                </w:tcPr>
                <w:p>
                  <w:pPr>
                    <w:widowControl/>
                    <w:spacing w:line="360" w:lineRule="auto"/>
                    <w:jc w:val="center"/>
                    <w:rPr>
                      <w:color w:val="auto"/>
                      <w:kern w:val="0"/>
                      <w:szCs w:val="21"/>
                    </w:rPr>
                  </w:pPr>
                  <w:r>
                    <w:rPr>
                      <w:rFonts w:hint="eastAsia"/>
                      <w:color w:val="auto"/>
                      <w:kern w:val="0"/>
                      <w:szCs w:val="21"/>
                    </w:rPr>
                    <w:t>6400</w:t>
                  </w:r>
                </w:p>
              </w:tc>
              <w:tc>
                <w:tcPr>
                  <w:tcW w:w="1187" w:type="dxa"/>
                  <w:vAlign w:val="center"/>
                </w:tcPr>
                <w:p>
                  <w:pPr>
                    <w:widowControl/>
                    <w:spacing w:line="360" w:lineRule="auto"/>
                    <w:jc w:val="center"/>
                    <w:rPr>
                      <w:color w:val="auto"/>
                      <w:kern w:val="0"/>
                      <w:szCs w:val="21"/>
                    </w:rPr>
                  </w:pPr>
                  <w:r>
                    <w:rPr>
                      <w:rFonts w:hint="eastAsia"/>
                      <w:color w:val="auto"/>
                      <w:kern w:val="0"/>
                      <w:szCs w:val="21"/>
                    </w:rPr>
                    <w:t>7300</w:t>
                  </w:r>
                </w:p>
              </w:tc>
              <w:tc>
                <w:tcPr>
                  <w:tcW w:w="1736" w:type="dxa"/>
                  <w:vAlign w:val="center"/>
                </w:tcPr>
                <w:p>
                  <w:pPr>
                    <w:widowControl/>
                    <w:spacing w:line="360" w:lineRule="auto"/>
                    <w:jc w:val="center"/>
                    <w:rPr>
                      <w:color w:val="auto"/>
                      <w:kern w:val="0"/>
                      <w:szCs w:val="21"/>
                    </w:rPr>
                  </w:pPr>
                  <w:r>
                    <w:rPr>
                      <w:rFonts w:hint="eastAsia"/>
                      <w:color w:val="auto"/>
                      <w:kern w:val="0"/>
                      <w:szCs w:val="21"/>
                    </w:rPr>
                    <w:t>1（局部夹层）/层高15.8m</w:t>
                  </w:r>
                </w:p>
              </w:tc>
              <w:tc>
                <w:tcPr>
                  <w:tcW w:w="1197" w:type="dxa"/>
                  <w:vAlign w:val="center"/>
                </w:tcPr>
                <w:p>
                  <w:pPr>
                    <w:widowControl/>
                    <w:spacing w:line="360" w:lineRule="auto"/>
                    <w:jc w:val="center"/>
                    <w:rPr>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color w:val="auto"/>
                      <w:kern w:val="0"/>
                      <w:szCs w:val="21"/>
                    </w:rPr>
                  </w:pPr>
                  <w:r>
                    <w:rPr>
                      <w:rFonts w:hint="eastAsia"/>
                      <w:color w:val="auto"/>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color w:val="auto"/>
                      <w:kern w:val="0"/>
                      <w:szCs w:val="21"/>
                    </w:rPr>
                  </w:pPr>
                  <w:r>
                    <w:rPr>
                      <w:rFonts w:hint="eastAsia"/>
                      <w:color w:val="auto"/>
                      <w:kern w:val="0"/>
                      <w:szCs w:val="21"/>
                    </w:rPr>
                    <w:t>4</w:t>
                  </w:r>
                </w:p>
              </w:tc>
              <w:tc>
                <w:tcPr>
                  <w:tcW w:w="1105" w:type="dxa"/>
                  <w:vAlign w:val="center"/>
                </w:tcPr>
                <w:p>
                  <w:pPr>
                    <w:widowControl/>
                    <w:spacing w:line="360" w:lineRule="auto"/>
                    <w:jc w:val="center"/>
                    <w:rPr>
                      <w:color w:val="auto"/>
                      <w:kern w:val="0"/>
                      <w:szCs w:val="21"/>
                    </w:rPr>
                  </w:pPr>
                  <w:r>
                    <w:rPr>
                      <w:rFonts w:hint="eastAsia"/>
                      <w:color w:val="auto"/>
                      <w:kern w:val="0"/>
                      <w:szCs w:val="21"/>
                    </w:rPr>
                    <w:t>车间四</w:t>
                  </w:r>
                </w:p>
              </w:tc>
              <w:tc>
                <w:tcPr>
                  <w:tcW w:w="1213" w:type="dxa"/>
                  <w:vAlign w:val="center"/>
                </w:tcPr>
                <w:p>
                  <w:pPr>
                    <w:widowControl/>
                    <w:spacing w:line="360" w:lineRule="auto"/>
                    <w:jc w:val="center"/>
                    <w:rPr>
                      <w:color w:val="auto"/>
                      <w:kern w:val="0"/>
                      <w:szCs w:val="21"/>
                    </w:rPr>
                  </w:pPr>
                  <w:r>
                    <w:rPr>
                      <w:rFonts w:hint="eastAsia"/>
                      <w:color w:val="auto"/>
                      <w:kern w:val="0"/>
                      <w:szCs w:val="21"/>
                    </w:rPr>
                    <w:t>6000</w:t>
                  </w:r>
                </w:p>
              </w:tc>
              <w:tc>
                <w:tcPr>
                  <w:tcW w:w="1187" w:type="dxa"/>
                  <w:vAlign w:val="center"/>
                </w:tcPr>
                <w:p>
                  <w:pPr>
                    <w:widowControl/>
                    <w:spacing w:line="360" w:lineRule="auto"/>
                    <w:jc w:val="center"/>
                    <w:rPr>
                      <w:color w:val="auto"/>
                      <w:kern w:val="0"/>
                      <w:szCs w:val="21"/>
                    </w:rPr>
                  </w:pPr>
                  <w:r>
                    <w:rPr>
                      <w:rFonts w:hint="eastAsia"/>
                      <w:color w:val="auto"/>
                      <w:kern w:val="0"/>
                      <w:szCs w:val="21"/>
                    </w:rPr>
                    <w:t>6800</w:t>
                  </w:r>
                </w:p>
              </w:tc>
              <w:tc>
                <w:tcPr>
                  <w:tcW w:w="1736" w:type="dxa"/>
                  <w:vAlign w:val="center"/>
                </w:tcPr>
                <w:p>
                  <w:pPr>
                    <w:widowControl/>
                    <w:spacing w:line="360" w:lineRule="auto"/>
                    <w:jc w:val="center"/>
                    <w:rPr>
                      <w:color w:val="auto"/>
                      <w:kern w:val="0"/>
                      <w:szCs w:val="21"/>
                    </w:rPr>
                  </w:pPr>
                  <w:r>
                    <w:rPr>
                      <w:rFonts w:hint="eastAsia"/>
                      <w:color w:val="auto"/>
                      <w:kern w:val="0"/>
                      <w:szCs w:val="21"/>
                    </w:rPr>
                    <w:t>1（局部夹层）/层高15.8m</w:t>
                  </w:r>
                </w:p>
              </w:tc>
              <w:tc>
                <w:tcPr>
                  <w:tcW w:w="1197" w:type="dxa"/>
                  <w:vAlign w:val="center"/>
                </w:tcPr>
                <w:p>
                  <w:pPr>
                    <w:widowControl/>
                    <w:spacing w:line="360" w:lineRule="auto"/>
                    <w:jc w:val="center"/>
                    <w:rPr>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color w:val="auto"/>
                      <w:kern w:val="0"/>
                      <w:szCs w:val="21"/>
                    </w:rPr>
                  </w:pPr>
                  <w:r>
                    <w:rPr>
                      <w:rFonts w:hint="eastAsia"/>
                      <w:color w:val="auto"/>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widowControl/>
                    <w:spacing w:line="360" w:lineRule="auto"/>
                    <w:jc w:val="center"/>
                    <w:rPr>
                      <w:color w:val="auto"/>
                      <w:kern w:val="0"/>
                      <w:szCs w:val="21"/>
                    </w:rPr>
                  </w:pPr>
                  <w:r>
                    <w:rPr>
                      <w:rFonts w:hint="eastAsia"/>
                      <w:color w:val="auto"/>
                      <w:kern w:val="0"/>
                      <w:szCs w:val="21"/>
                    </w:rPr>
                    <w:t>5</w:t>
                  </w:r>
                </w:p>
              </w:tc>
              <w:tc>
                <w:tcPr>
                  <w:tcW w:w="1105" w:type="dxa"/>
                  <w:vAlign w:val="center"/>
                </w:tcPr>
                <w:p>
                  <w:pPr>
                    <w:widowControl/>
                    <w:spacing w:line="360" w:lineRule="auto"/>
                    <w:jc w:val="center"/>
                    <w:rPr>
                      <w:color w:val="auto"/>
                      <w:kern w:val="0"/>
                      <w:szCs w:val="21"/>
                    </w:rPr>
                  </w:pPr>
                  <w:r>
                    <w:rPr>
                      <w:rFonts w:hint="eastAsia"/>
                      <w:color w:val="auto"/>
                      <w:kern w:val="0"/>
                      <w:szCs w:val="21"/>
                    </w:rPr>
                    <w:t>危废仓库</w:t>
                  </w:r>
                </w:p>
              </w:tc>
              <w:tc>
                <w:tcPr>
                  <w:tcW w:w="1213" w:type="dxa"/>
                  <w:vAlign w:val="center"/>
                </w:tcPr>
                <w:p>
                  <w:pPr>
                    <w:widowControl/>
                    <w:spacing w:line="360" w:lineRule="auto"/>
                    <w:jc w:val="center"/>
                    <w:rPr>
                      <w:color w:val="auto"/>
                      <w:kern w:val="0"/>
                      <w:szCs w:val="21"/>
                    </w:rPr>
                  </w:pPr>
                  <w:r>
                    <w:rPr>
                      <w:rFonts w:hint="eastAsia"/>
                      <w:color w:val="auto"/>
                      <w:kern w:val="0"/>
                      <w:szCs w:val="21"/>
                    </w:rPr>
                    <w:t>30</w:t>
                  </w:r>
                </w:p>
              </w:tc>
              <w:tc>
                <w:tcPr>
                  <w:tcW w:w="1187" w:type="dxa"/>
                  <w:vAlign w:val="center"/>
                </w:tcPr>
                <w:p>
                  <w:pPr>
                    <w:widowControl/>
                    <w:spacing w:line="360" w:lineRule="auto"/>
                    <w:jc w:val="center"/>
                    <w:rPr>
                      <w:color w:val="auto"/>
                      <w:kern w:val="0"/>
                      <w:szCs w:val="21"/>
                    </w:rPr>
                  </w:pPr>
                  <w:r>
                    <w:rPr>
                      <w:rFonts w:hint="eastAsia"/>
                      <w:color w:val="auto"/>
                      <w:kern w:val="0"/>
                      <w:szCs w:val="21"/>
                    </w:rPr>
                    <w:t>30</w:t>
                  </w:r>
                </w:p>
              </w:tc>
              <w:tc>
                <w:tcPr>
                  <w:tcW w:w="1736" w:type="dxa"/>
                  <w:vAlign w:val="center"/>
                </w:tcPr>
                <w:p>
                  <w:pPr>
                    <w:widowControl/>
                    <w:spacing w:line="360" w:lineRule="auto"/>
                    <w:jc w:val="center"/>
                    <w:rPr>
                      <w:color w:val="auto"/>
                      <w:kern w:val="0"/>
                      <w:szCs w:val="21"/>
                    </w:rPr>
                  </w:pPr>
                  <w:r>
                    <w:rPr>
                      <w:rFonts w:hint="eastAsia"/>
                      <w:color w:val="auto"/>
                      <w:kern w:val="0"/>
                      <w:szCs w:val="21"/>
                    </w:rPr>
                    <w:t>1/层高3m</w:t>
                  </w:r>
                </w:p>
              </w:tc>
              <w:tc>
                <w:tcPr>
                  <w:tcW w:w="1197" w:type="dxa"/>
                  <w:vAlign w:val="center"/>
                </w:tcPr>
                <w:p>
                  <w:pPr>
                    <w:widowControl/>
                    <w:spacing w:line="360" w:lineRule="auto"/>
                    <w:jc w:val="center"/>
                    <w:rPr>
                      <w:color w:val="auto"/>
                      <w:kern w:val="0"/>
                      <w:szCs w:val="21"/>
                    </w:rPr>
                  </w:pPr>
                  <w:r>
                    <w:rPr>
                      <w:rFonts w:hint="eastAsia"/>
                      <w:color w:val="auto"/>
                      <w:kern w:val="0"/>
                      <w:szCs w:val="21"/>
                    </w:rPr>
                    <w:t>丙类</w:t>
                  </w:r>
                </w:p>
              </w:tc>
              <w:tc>
                <w:tcPr>
                  <w:tcW w:w="1200" w:type="dxa"/>
                  <w:vAlign w:val="center"/>
                </w:tcPr>
                <w:p>
                  <w:pPr>
                    <w:widowControl/>
                    <w:spacing w:line="360" w:lineRule="auto"/>
                    <w:jc w:val="center"/>
                    <w:rPr>
                      <w:color w:val="auto"/>
                      <w:kern w:val="0"/>
                      <w:szCs w:val="21"/>
                    </w:rPr>
                  </w:pPr>
                  <w:r>
                    <w:rPr>
                      <w:rFonts w:hint="eastAsia"/>
                      <w:color w:val="auto"/>
                      <w:kern w:val="0"/>
                      <w:szCs w:val="21"/>
                    </w:rPr>
                    <w:t>二级</w:t>
                  </w:r>
                </w:p>
              </w:tc>
            </w:tr>
          </w:tbl>
          <w:p>
            <w:pPr>
              <w:widowControl/>
              <w:spacing w:line="360" w:lineRule="auto"/>
              <w:ind w:firstLine="482" w:firstLineChars="200"/>
              <w:jc w:val="left"/>
              <w:rPr>
                <w:b/>
                <w:bCs/>
                <w:color w:val="auto"/>
              </w:rPr>
            </w:pPr>
            <w:r>
              <w:rPr>
                <w:b/>
                <w:bCs/>
                <w:color w:val="auto"/>
                <w:kern w:val="0"/>
                <w:sz w:val="24"/>
              </w:rPr>
              <w:t>1、现有项目环保手续履行情况</w:t>
            </w:r>
          </w:p>
          <w:p>
            <w:pPr>
              <w:widowControl/>
              <w:spacing w:line="360" w:lineRule="auto"/>
              <w:ind w:firstLine="480" w:firstLineChars="200"/>
              <w:jc w:val="left"/>
              <w:rPr>
                <w:color w:val="auto"/>
                <w:kern w:val="0"/>
                <w:sz w:val="24"/>
              </w:rPr>
            </w:pPr>
            <w:r>
              <w:rPr>
                <w:color w:val="auto"/>
                <w:kern w:val="0"/>
                <w:sz w:val="24"/>
              </w:rPr>
              <w:t>目前公司现有项目已履行环评及环保验收手续，生产过程中的项目建设情况、环评审批情况、环保竣工验收见表2-</w:t>
            </w:r>
            <w:r>
              <w:rPr>
                <w:rFonts w:hint="eastAsia"/>
                <w:color w:val="auto"/>
                <w:kern w:val="0"/>
                <w:sz w:val="24"/>
              </w:rPr>
              <w:t>10</w:t>
            </w:r>
            <w:r>
              <w:rPr>
                <w:color w:val="auto"/>
                <w:kern w:val="0"/>
                <w:sz w:val="24"/>
              </w:rPr>
              <w:t>。</w:t>
            </w:r>
          </w:p>
          <w:p>
            <w:pPr>
              <w:pStyle w:val="2"/>
              <w:spacing w:line="240" w:lineRule="auto"/>
              <w:jc w:val="center"/>
              <w:rPr>
                <w:rFonts w:ascii="Times New Roman" w:hAnsi="Times New Roman"/>
                <w:b/>
                <w:bCs w:val="0"/>
                <w:color w:val="auto"/>
                <w:sz w:val="21"/>
                <w:szCs w:val="21"/>
              </w:rPr>
            </w:pPr>
            <w:r>
              <w:rPr>
                <w:rFonts w:ascii="Times New Roman" w:hAnsi="Times New Roman"/>
                <w:b/>
                <w:bCs w:val="0"/>
                <w:color w:val="auto"/>
                <w:kern w:val="0"/>
                <w:sz w:val="21"/>
                <w:szCs w:val="21"/>
              </w:rPr>
              <w:t>表2-</w:t>
            </w:r>
            <w:r>
              <w:rPr>
                <w:rFonts w:hint="eastAsia" w:ascii="Times New Roman" w:hAnsi="Times New Roman"/>
                <w:b/>
                <w:bCs w:val="0"/>
                <w:color w:val="auto"/>
                <w:kern w:val="0"/>
                <w:sz w:val="21"/>
                <w:szCs w:val="21"/>
              </w:rPr>
              <w:t>10</w:t>
            </w:r>
            <w:r>
              <w:rPr>
                <w:rFonts w:ascii="Times New Roman" w:hAnsi="Times New Roman"/>
                <w:b/>
                <w:bCs w:val="0"/>
                <w:color w:val="auto"/>
                <w:kern w:val="0"/>
                <w:sz w:val="21"/>
                <w:szCs w:val="21"/>
              </w:rPr>
              <w:t>公司现有项目建设情况及执行环保制度情况一览表</w:t>
            </w:r>
          </w:p>
          <w:tbl>
            <w:tblPr>
              <w:tblStyle w:val="20"/>
              <w:tblW w:w="7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2472"/>
              <w:gridCol w:w="2233"/>
              <w:gridCol w:w="1567"/>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0" w:type="dxa"/>
                  <w:noWrap/>
                  <w:vAlign w:val="center"/>
                </w:tcPr>
                <w:p>
                  <w:pPr>
                    <w:pStyle w:val="2"/>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序号</w:t>
                  </w:r>
                </w:p>
              </w:tc>
              <w:tc>
                <w:tcPr>
                  <w:tcW w:w="2472" w:type="dxa"/>
                  <w:noWrap/>
                  <w:vAlign w:val="center"/>
                </w:tcPr>
                <w:p>
                  <w:pPr>
                    <w:pStyle w:val="2"/>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项目名称</w:t>
                  </w:r>
                </w:p>
              </w:tc>
              <w:tc>
                <w:tcPr>
                  <w:tcW w:w="2233" w:type="dxa"/>
                  <w:noWrap/>
                  <w:vAlign w:val="center"/>
                </w:tcPr>
                <w:p>
                  <w:pPr>
                    <w:pStyle w:val="2"/>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审批文号</w:t>
                  </w:r>
                </w:p>
              </w:tc>
              <w:tc>
                <w:tcPr>
                  <w:tcW w:w="1567" w:type="dxa"/>
                  <w:noWrap/>
                  <w:vAlign w:val="center"/>
                </w:tcPr>
                <w:p>
                  <w:pPr>
                    <w:pStyle w:val="2"/>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环保竣工验收</w:t>
                  </w:r>
                </w:p>
              </w:tc>
              <w:tc>
                <w:tcPr>
                  <w:tcW w:w="1200" w:type="dxa"/>
                  <w:noWrap/>
                  <w:vAlign w:val="center"/>
                </w:tcPr>
                <w:p>
                  <w:pPr>
                    <w:pStyle w:val="2"/>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40" w:type="dxa"/>
                  <w:noWrap/>
                  <w:vAlign w:val="center"/>
                </w:tcPr>
                <w:p>
                  <w:pPr>
                    <w:pStyle w:val="2"/>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1</w:t>
                  </w:r>
                </w:p>
              </w:tc>
              <w:tc>
                <w:tcPr>
                  <w:tcW w:w="2472" w:type="dxa"/>
                  <w:noWrap/>
                  <w:vAlign w:val="center"/>
                </w:tcPr>
                <w:p>
                  <w:pPr>
                    <w:pStyle w:val="2"/>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新建年产10万套康复辅具项目环境影响登记表</w:t>
                  </w:r>
                </w:p>
              </w:tc>
              <w:tc>
                <w:tcPr>
                  <w:tcW w:w="2233" w:type="dxa"/>
                  <w:noWrap/>
                  <w:vAlign w:val="center"/>
                </w:tcPr>
                <w:p>
                  <w:pPr>
                    <w:pStyle w:val="2"/>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备案号：202032058100002893</w:t>
                  </w:r>
                </w:p>
              </w:tc>
              <w:tc>
                <w:tcPr>
                  <w:tcW w:w="1567" w:type="dxa"/>
                  <w:noWrap/>
                  <w:vAlign w:val="center"/>
                </w:tcPr>
                <w:p>
                  <w:pPr>
                    <w:pStyle w:val="2"/>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w:t>
                  </w:r>
                </w:p>
              </w:tc>
              <w:tc>
                <w:tcPr>
                  <w:tcW w:w="1200" w:type="dxa"/>
                  <w:noWrap/>
                  <w:vAlign w:val="center"/>
                </w:tcPr>
                <w:p>
                  <w:pPr>
                    <w:pStyle w:val="2"/>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正常生产</w:t>
                  </w:r>
                </w:p>
              </w:tc>
            </w:tr>
          </w:tbl>
          <w:p>
            <w:pPr>
              <w:widowControl/>
              <w:spacing w:line="360" w:lineRule="auto"/>
              <w:ind w:firstLine="482" w:firstLineChars="200"/>
              <w:jc w:val="left"/>
              <w:rPr>
                <w:b/>
                <w:bCs/>
                <w:color w:val="auto"/>
                <w:kern w:val="0"/>
                <w:sz w:val="24"/>
              </w:rPr>
            </w:pPr>
            <w:r>
              <w:rPr>
                <w:rFonts w:hint="eastAsia"/>
                <w:b/>
                <w:bCs/>
                <w:color w:val="auto"/>
                <w:kern w:val="0"/>
                <w:sz w:val="24"/>
              </w:rPr>
              <w:t>2、现有项目生产工艺及产污</w:t>
            </w:r>
          </w:p>
          <w:p>
            <w:pPr>
              <w:pStyle w:val="2"/>
              <w:ind w:firstLine="560" w:firstLineChars="200"/>
              <w:jc w:val="center"/>
              <w:rPr>
                <w:color w:val="auto"/>
              </w:rPr>
            </w:pPr>
            <w:r>
              <w:rPr>
                <w:color w:val="auto"/>
              </w:rPr>
              <w:drawing>
                <wp:inline distT="0" distB="0" distL="114300" distR="114300">
                  <wp:extent cx="4019550" cy="3943350"/>
                  <wp:effectExtent l="0" t="0" r="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0"/>
                          <a:stretch>
                            <a:fillRect/>
                          </a:stretch>
                        </pic:blipFill>
                        <pic:spPr>
                          <a:xfrm>
                            <a:off x="0" y="0"/>
                            <a:ext cx="4019550" cy="3943350"/>
                          </a:xfrm>
                          <a:prstGeom prst="rect">
                            <a:avLst/>
                          </a:prstGeom>
                          <a:noFill/>
                          <a:ln>
                            <a:noFill/>
                          </a:ln>
                        </pic:spPr>
                      </pic:pic>
                    </a:graphicData>
                  </a:graphic>
                </wp:inline>
              </w:drawing>
            </w:r>
          </w:p>
          <w:p>
            <w:pPr>
              <w:widowControl/>
              <w:spacing w:line="360" w:lineRule="auto"/>
              <w:ind w:firstLine="482" w:firstLineChars="200"/>
              <w:jc w:val="center"/>
              <w:rPr>
                <w:b/>
                <w:bCs/>
                <w:color w:val="auto"/>
                <w:kern w:val="0"/>
                <w:sz w:val="24"/>
              </w:rPr>
            </w:pPr>
            <w:r>
              <w:rPr>
                <w:b/>
                <w:bCs/>
                <w:color w:val="auto"/>
                <w:sz w:val="24"/>
              </w:rPr>
              <w:t>图2-</w:t>
            </w:r>
            <w:r>
              <w:rPr>
                <w:rFonts w:hint="eastAsia"/>
                <w:b/>
                <w:bCs/>
                <w:color w:val="auto"/>
                <w:sz w:val="24"/>
              </w:rPr>
              <w:t>3现有项目生产工艺</w:t>
            </w:r>
            <w:r>
              <w:rPr>
                <w:b/>
                <w:bCs/>
                <w:color w:val="auto"/>
                <w:sz w:val="24"/>
              </w:rPr>
              <w:t>流程图</w:t>
            </w:r>
          </w:p>
          <w:p>
            <w:pPr>
              <w:widowControl/>
              <w:spacing w:line="360" w:lineRule="auto"/>
              <w:ind w:firstLine="482" w:firstLineChars="200"/>
              <w:jc w:val="left"/>
              <w:rPr>
                <w:color w:val="auto"/>
                <w:kern w:val="0"/>
                <w:sz w:val="24"/>
              </w:rPr>
            </w:pPr>
            <w:r>
              <w:rPr>
                <w:rFonts w:hint="eastAsia"/>
                <w:b/>
                <w:bCs/>
                <w:color w:val="auto"/>
                <w:kern w:val="0"/>
                <w:sz w:val="24"/>
              </w:rPr>
              <w:t>组装：</w:t>
            </w:r>
            <w:r>
              <w:rPr>
                <w:rFonts w:hint="eastAsia"/>
                <w:color w:val="auto"/>
                <w:kern w:val="0"/>
                <w:sz w:val="24"/>
              </w:rPr>
              <w:t>企业购买现成的钢材及橡胶胶片，通过组装机进行组装，组装完成后的成品经传动带自动运输到检验区工作台。</w:t>
            </w:r>
          </w:p>
          <w:p>
            <w:pPr>
              <w:pStyle w:val="2"/>
              <w:ind w:firstLine="498" w:firstLineChars="200"/>
              <w:rPr>
                <w:rFonts w:ascii="Times New Roman" w:hAnsi="Times New Roman"/>
                <w:bCs w:val="0"/>
                <w:color w:val="auto"/>
                <w:spacing w:val="4"/>
                <w:sz w:val="24"/>
                <w:szCs w:val="24"/>
              </w:rPr>
            </w:pPr>
            <w:r>
              <w:rPr>
                <w:rFonts w:hint="eastAsia" w:ascii="Times New Roman" w:hAnsi="Times New Roman"/>
                <w:b/>
                <w:color w:val="auto"/>
                <w:spacing w:val="4"/>
                <w:sz w:val="24"/>
                <w:szCs w:val="24"/>
              </w:rPr>
              <w:t>检验：</w:t>
            </w:r>
            <w:r>
              <w:rPr>
                <w:rFonts w:hint="eastAsia" w:ascii="Times New Roman" w:hAnsi="Times New Roman"/>
                <w:bCs w:val="0"/>
                <w:color w:val="auto"/>
                <w:spacing w:val="4"/>
                <w:sz w:val="24"/>
                <w:szCs w:val="24"/>
              </w:rPr>
              <w:t>组装好的成品进入检验工序，此过程会产生S1不合格品，不合格品全部外售。</w:t>
            </w:r>
          </w:p>
          <w:p>
            <w:pPr>
              <w:widowControl/>
              <w:spacing w:line="360" w:lineRule="auto"/>
              <w:ind w:firstLine="482" w:firstLineChars="200"/>
              <w:jc w:val="left"/>
              <w:rPr>
                <w:b/>
                <w:bCs/>
                <w:color w:val="auto"/>
                <w:kern w:val="0"/>
                <w:sz w:val="24"/>
              </w:rPr>
            </w:pPr>
            <w:r>
              <w:rPr>
                <w:rFonts w:hint="eastAsia"/>
                <w:b/>
                <w:bCs/>
                <w:color w:val="auto"/>
                <w:kern w:val="0"/>
                <w:sz w:val="24"/>
              </w:rPr>
              <w:t>3</w:t>
            </w:r>
            <w:r>
              <w:rPr>
                <w:b/>
                <w:bCs/>
                <w:color w:val="auto"/>
                <w:kern w:val="0"/>
                <w:sz w:val="24"/>
              </w:rPr>
              <w:t>、现有项目主要污染治理措施</w:t>
            </w:r>
          </w:p>
          <w:p>
            <w:pPr>
              <w:widowControl/>
              <w:spacing w:line="360" w:lineRule="auto"/>
              <w:ind w:firstLine="480" w:firstLineChars="200"/>
              <w:jc w:val="left"/>
              <w:rPr>
                <w:color w:val="auto"/>
                <w:kern w:val="0"/>
                <w:sz w:val="24"/>
              </w:rPr>
            </w:pPr>
            <w:r>
              <w:rPr>
                <w:rFonts w:hint="eastAsia"/>
                <w:color w:val="auto"/>
                <w:kern w:val="0"/>
                <w:sz w:val="24"/>
              </w:rPr>
              <w:t>（1）废气</w:t>
            </w:r>
          </w:p>
          <w:p>
            <w:pPr>
              <w:widowControl/>
              <w:spacing w:line="360" w:lineRule="auto"/>
              <w:ind w:firstLine="480" w:firstLineChars="200"/>
              <w:jc w:val="left"/>
              <w:rPr>
                <w:bCs/>
                <w:color w:val="auto"/>
                <w:sz w:val="24"/>
              </w:rPr>
            </w:pPr>
            <w:r>
              <w:rPr>
                <w:rFonts w:hint="eastAsia"/>
                <w:bCs/>
                <w:color w:val="auto"/>
                <w:sz w:val="24"/>
              </w:rPr>
              <w:t>①由于设备、工作台有清洁要求，故选择乙醇用于擦拭工作台、设备，擦拭过程中乙醇易挥发会产生废气，但由于使用频率低，且乙醇用量较小，故废气产生量极小。且在不同车间内不定期使用，车间较大，难以进行收集，于车间内通风无组织排放，不作定量分析。</w:t>
            </w:r>
          </w:p>
          <w:p>
            <w:pPr>
              <w:widowControl/>
              <w:spacing w:line="360" w:lineRule="auto"/>
              <w:ind w:firstLine="480" w:firstLineChars="200"/>
              <w:jc w:val="left"/>
              <w:rPr>
                <w:bCs/>
                <w:color w:val="auto"/>
                <w:sz w:val="24"/>
              </w:rPr>
            </w:pPr>
            <w:r>
              <w:rPr>
                <w:rFonts w:hint="eastAsia"/>
                <w:bCs/>
                <w:color w:val="auto"/>
                <w:sz w:val="24"/>
              </w:rPr>
              <w:t>②柴油发电机运行过程中燃烧柴油会产生废气，主要为颗粒物、二氧化硫、氮氧化物。由于柴油发电机仅在企业断电、停电时启用，启用情况少且启用时间较短，产生量极小，于车间内无组织排放，不作定量分析。</w:t>
            </w:r>
          </w:p>
          <w:p>
            <w:pPr>
              <w:pStyle w:val="2"/>
              <w:ind w:firstLine="480" w:firstLineChars="200"/>
              <w:rPr>
                <w:color w:val="auto"/>
              </w:rPr>
            </w:pPr>
            <w:r>
              <w:rPr>
                <w:rFonts w:hint="eastAsia" w:ascii="Times New Roman" w:hAnsi="Times New Roman"/>
                <w:color w:val="auto"/>
                <w:sz w:val="24"/>
                <w:szCs w:val="24"/>
              </w:rPr>
              <w:t>③危废仓库废气主要来源与存放的废包装桶、废包装瓶、废抹布，原废桶存储的原料包含乙醇及柴油，存在一定挥发性，</w:t>
            </w:r>
            <w:r>
              <w:rPr>
                <w:rFonts w:ascii="Times New Roman" w:hAnsi="Times New Roman"/>
                <w:color w:val="auto"/>
                <w:sz w:val="24"/>
                <w:szCs w:val="24"/>
              </w:rPr>
              <w:t>在储存过程中会挥发散逸出少量有机废气，以非甲烷总烃计，产生量极少，</w:t>
            </w:r>
            <w:r>
              <w:rPr>
                <w:rFonts w:hint="eastAsia"/>
                <w:color w:val="auto"/>
                <w:sz w:val="24"/>
                <w:szCs w:val="24"/>
              </w:rPr>
              <w:t>通过仓库内通风换气措施排放，满足排放要求，</w:t>
            </w:r>
            <w:r>
              <w:rPr>
                <w:rFonts w:hint="eastAsia" w:ascii="Times New Roman" w:hAnsi="Times New Roman"/>
                <w:color w:val="auto"/>
                <w:sz w:val="24"/>
                <w:szCs w:val="24"/>
              </w:rPr>
              <w:t>不作定量分析。</w:t>
            </w:r>
          </w:p>
          <w:p>
            <w:pPr>
              <w:widowControl/>
              <w:spacing w:line="360" w:lineRule="auto"/>
              <w:ind w:firstLine="480" w:firstLineChars="200"/>
              <w:jc w:val="left"/>
              <w:rPr>
                <w:color w:val="auto"/>
                <w:kern w:val="0"/>
                <w:sz w:val="24"/>
              </w:rPr>
            </w:pPr>
            <w:r>
              <w:rPr>
                <w:rFonts w:hint="eastAsia"/>
                <w:color w:val="auto"/>
                <w:kern w:val="0"/>
                <w:sz w:val="24"/>
              </w:rPr>
              <w:t>（2）</w:t>
            </w:r>
            <w:r>
              <w:rPr>
                <w:color w:val="auto"/>
                <w:kern w:val="0"/>
                <w:sz w:val="24"/>
              </w:rPr>
              <w:t>废水</w:t>
            </w:r>
          </w:p>
          <w:p>
            <w:pPr>
              <w:widowControl/>
              <w:spacing w:line="360" w:lineRule="auto"/>
              <w:ind w:firstLine="480" w:firstLineChars="200"/>
              <w:jc w:val="left"/>
              <w:rPr>
                <w:color w:val="auto"/>
                <w:kern w:val="0"/>
                <w:sz w:val="24"/>
              </w:rPr>
            </w:pPr>
            <w:r>
              <w:rPr>
                <w:rFonts w:hint="eastAsia"/>
                <w:color w:val="auto"/>
                <w:kern w:val="0"/>
                <w:sz w:val="24"/>
              </w:rPr>
              <w:t>现有项目无生产废水产生排放，仅</w:t>
            </w:r>
            <w:r>
              <w:rPr>
                <w:color w:val="auto"/>
                <w:sz w:val="24"/>
              </w:rPr>
              <w:t>生活污水接管至常熟</w:t>
            </w:r>
            <w:r>
              <w:rPr>
                <w:rFonts w:hint="eastAsia"/>
                <w:color w:val="auto"/>
                <w:sz w:val="24"/>
              </w:rPr>
              <w:t>城东净水</w:t>
            </w:r>
            <w:r>
              <w:rPr>
                <w:color w:val="auto"/>
                <w:sz w:val="24"/>
              </w:rPr>
              <w:t>厂集中处理，达标排入</w:t>
            </w:r>
            <w:r>
              <w:rPr>
                <w:rFonts w:hint="eastAsia"/>
                <w:color w:val="auto"/>
                <w:sz w:val="24"/>
              </w:rPr>
              <w:t>白茆塘</w:t>
            </w:r>
            <w:r>
              <w:rPr>
                <w:rFonts w:hint="eastAsia"/>
                <w:color w:val="auto"/>
                <w:kern w:val="0"/>
                <w:sz w:val="24"/>
              </w:rPr>
              <w:t>。</w:t>
            </w:r>
          </w:p>
          <w:p>
            <w:pPr>
              <w:widowControl/>
              <w:spacing w:line="360" w:lineRule="auto"/>
              <w:ind w:firstLine="480" w:firstLineChars="200"/>
              <w:rPr>
                <w:color w:val="auto"/>
                <w:kern w:val="0"/>
                <w:sz w:val="24"/>
              </w:rPr>
            </w:pPr>
            <w:r>
              <w:rPr>
                <w:color w:val="auto"/>
                <w:kern w:val="0"/>
                <w:sz w:val="24"/>
              </w:rPr>
              <w:t>（3）噪声</w:t>
            </w:r>
          </w:p>
          <w:p>
            <w:pPr>
              <w:spacing w:line="360" w:lineRule="auto"/>
              <w:ind w:firstLine="496" w:firstLineChars="200"/>
              <w:rPr>
                <w:color w:val="auto"/>
                <w:spacing w:val="4"/>
                <w:sz w:val="24"/>
              </w:rPr>
            </w:pPr>
            <w:r>
              <w:rPr>
                <w:rFonts w:hint="eastAsia"/>
                <w:color w:val="auto"/>
                <w:spacing w:val="4"/>
                <w:sz w:val="24"/>
              </w:rPr>
              <w:t>依据环境影响登记表可知，现有项目仅含组装，无噪声污染产生。</w:t>
            </w:r>
          </w:p>
          <w:p>
            <w:pPr>
              <w:widowControl/>
              <w:spacing w:line="360" w:lineRule="auto"/>
              <w:ind w:firstLine="480" w:firstLineChars="200"/>
              <w:rPr>
                <w:color w:val="auto"/>
                <w:kern w:val="0"/>
                <w:sz w:val="24"/>
              </w:rPr>
            </w:pPr>
            <w:r>
              <w:rPr>
                <w:rFonts w:hint="eastAsia"/>
                <w:color w:val="auto"/>
                <w:kern w:val="0"/>
                <w:sz w:val="24"/>
              </w:rPr>
              <w:t>（4）固废</w:t>
            </w:r>
          </w:p>
          <w:p>
            <w:pPr>
              <w:pStyle w:val="2"/>
              <w:ind w:firstLine="496" w:firstLineChars="200"/>
              <w:rPr>
                <w:rFonts w:ascii="Times New Roman" w:hAnsi="Times New Roman"/>
                <w:bCs w:val="0"/>
                <w:color w:val="auto"/>
                <w:spacing w:val="4"/>
                <w:sz w:val="24"/>
                <w:szCs w:val="24"/>
              </w:rPr>
            </w:pPr>
            <w:r>
              <w:rPr>
                <w:rFonts w:hint="eastAsia" w:ascii="Times New Roman" w:hAnsi="Times New Roman"/>
                <w:bCs w:val="0"/>
                <w:color w:val="auto"/>
                <w:spacing w:val="4"/>
                <w:sz w:val="24"/>
                <w:szCs w:val="24"/>
              </w:rPr>
              <w:t>现有项目</w:t>
            </w:r>
            <w:r>
              <w:rPr>
                <w:rFonts w:ascii="Times New Roman" w:hAnsi="Times New Roman"/>
                <w:bCs w:val="0"/>
                <w:color w:val="auto"/>
                <w:spacing w:val="4"/>
                <w:sz w:val="24"/>
                <w:szCs w:val="24"/>
              </w:rPr>
              <w:t>目前厂区人数</w:t>
            </w:r>
            <w:r>
              <w:rPr>
                <w:rFonts w:hint="eastAsia" w:ascii="Times New Roman" w:hAnsi="Times New Roman"/>
                <w:bCs w:val="0"/>
                <w:color w:val="auto"/>
                <w:spacing w:val="4"/>
                <w:sz w:val="24"/>
                <w:szCs w:val="24"/>
              </w:rPr>
              <w:t>10人，</w:t>
            </w:r>
            <w:r>
              <w:rPr>
                <w:rFonts w:ascii="Times New Roman" w:hAnsi="Times New Roman"/>
                <w:bCs w:val="0"/>
                <w:color w:val="auto"/>
                <w:sz w:val="24"/>
                <w:szCs w:val="24"/>
              </w:rPr>
              <w:t>生活垃圾产生量按每人每天0.5kg计，共计</w:t>
            </w:r>
            <w:r>
              <w:rPr>
                <w:rFonts w:hint="eastAsia" w:ascii="Times New Roman" w:hAnsi="Times New Roman"/>
                <w:bCs w:val="0"/>
                <w:color w:val="auto"/>
                <w:sz w:val="24"/>
                <w:szCs w:val="24"/>
              </w:rPr>
              <w:t>产</w:t>
            </w:r>
            <w:r>
              <w:rPr>
                <w:rFonts w:ascii="Times New Roman" w:hAnsi="Times New Roman"/>
                <w:bCs w:val="0"/>
                <w:color w:val="auto"/>
                <w:sz w:val="24"/>
                <w:szCs w:val="24"/>
              </w:rPr>
              <w:t>生1.68t/a</w:t>
            </w:r>
            <w:r>
              <w:rPr>
                <w:rFonts w:hint="eastAsia" w:ascii="Times New Roman" w:hAnsi="Times New Roman"/>
                <w:bCs w:val="0"/>
                <w:color w:val="auto"/>
                <w:sz w:val="24"/>
                <w:szCs w:val="24"/>
              </w:rPr>
              <w:t>。生产过程中仅产生不合格品20t/a，危险废物主要来源于乙醇、柴油的包装及擦拭设备、工作台的抹布，年产生废包装桶0.5t、废包装瓶0.1t、废抹布0.1t。</w:t>
            </w:r>
          </w:p>
          <w:p>
            <w:pPr>
              <w:widowControl/>
              <w:spacing w:line="360" w:lineRule="auto"/>
              <w:ind w:firstLine="482" w:firstLineChars="200"/>
              <w:jc w:val="left"/>
              <w:rPr>
                <w:b/>
                <w:bCs/>
                <w:color w:val="auto"/>
                <w:kern w:val="0"/>
                <w:sz w:val="24"/>
              </w:rPr>
            </w:pPr>
            <w:r>
              <w:rPr>
                <w:rFonts w:hint="eastAsia"/>
                <w:b/>
                <w:bCs/>
                <w:color w:val="auto"/>
                <w:kern w:val="0"/>
                <w:sz w:val="24"/>
              </w:rPr>
              <w:t>4</w:t>
            </w:r>
            <w:r>
              <w:rPr>
                <w:b/>
                <w:bCs/>
                <w:color w:val="auto"/>
                <w:kern w:val="0"/>
                <w:sz w:val="24"/>
              </w:rPr>
              <w:t>、现有项目污染物产生及排放情况</w:t>
            </w:r>
          </w:p>
          <w:p>
            <w:pPr>
              <w:widowControl/>
              <w:spacing w:line="360" w:lineRule="auto"/>
              <w:ind w:firstLine="480" w:firstLineChars="200"/>
              <w:jc w:val="left"/>
              <w:rPr>
                <w:color w:val="auto"/>
                <w:kern w:val="0"/>
                <w:sz w:val="24"/>
              </w:rPr>
            </w:pPr>
            <w:r>
              <w:rPr>
                <w:color w:val="auto"/>
                <w:kern w:val="0"/>
                <w:sz w:val="24"/>
              </w:rPr>
              <w:t>因本项目建设不涉及生产，不改变现有项目产品产能，原辅材料使用种类和用量不变，生产工艺、产污节点和产污情况均不发生变化；因此本报告不再对现有项目生产过程进行赘述，仍然以现有项目所申报的环保手续文件为准。</w:t>
            </w:r>
          </w:p>
          <w:p>
            <w:pPr>
              <w:pStyle w:val="2"/>
              <w:adjustRightInd/>
              <w:spacing w:line="240" w:lineRule="auto"/>
              <w:jc w:val="center"/>
              <w:rPr>
                <w:rFonts w:ascii="Times New Roman" w:hAnsi="Times New Roman"/>
                <w:b/>
                <w:bCs w:val="0"/>
                <w:color w:val="auto"/>
                <w:sz w:val="24"/>
                <w:szCs w:val="24"/>
              </w:rPr>
            </w:pPr>
          </w:p>
          <w:p>
            <w:pPr>
              <w:pStyle w:val="2"/>
              <w:adjustRightInd/>
              <w:spacing w:line="240" w:lineRule="auto"/>
              <w:jc w:val="center"/>
              <w:rPr>
                <w:rFonts w:ascii="Times New Roman" w:hAnsi="Times New Roman"/>
                <w:b/>
                <w:bCs w:val="0"/>
                <w:color w:val="auto"/>
                <w:sz w:val="24"/>
                <w:szCs w:val="24"/>
              </w:rPr>
            </w:pPr>
            <w:r>
              <w:rPr>
                <w:rFonts w:ascii="Times New Roman" w:hAnsi="Times New Roman"/>
                <w:b/>
                <w:bCs w:val="0"/>
                <w:color w:val="auto"/>
                <w:sz w:val="24"/>
                <w:szCs w:val="24"/>
              </w:rPr>
              <w:t>表2-</w:t>
            </w:r>
            <w:r>
              <w:rPr>
                <w:rFonts w:hint="eastAsia" w:ascii="Times New Roman" w:hAnsi="Times New Roman"/>
                <w:b/>
                <w:bCs w:val="0"/>
                <w:color w:val="auto"/>
                <w:sz w:val="24"/>
                <w:szCs w:val="24"/>
              </w:rPr>
              <w:t>11</w:t>
            </w:r>
            <w:r>
              <w:rPr>
                <w:rFonts w:ascii="Times New Roman" w:hAnsi="Times New Roman"/>
                <w:b/>
                <w:bCs w:val="0"/>
                <w:color w:val="auto"/>
                <w:sz w:val="24"/>
                <w:szCs w:val="24"/>
              </w:rPr>
              <w:t>项目污染物排放总量控制指标表</w:t>
            </w:r>
          </w:p>
          <w:tbl>
            <w:tblPr>
              <w:tblStyle w:val="20"/>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2251"/>
              <w:gridCol w:w="1779"/>
              <w:gridCol w:w="1779"/>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noWrap/>
                  <w:vAlign w:val="center"/>
                </w:tcPr>
                <w:p>
                  <w:pPr>
                    <w:jc w:val="center"/>
                    <w:rPr>
                      <w:color w:val="auto"/>
                      <w:szCs w:val="21"/>
                    </w:rPr>
                  </w:pPr>
                  <w:r>
                    <w:rPr>
                      <w:color w:val="auto"/>
                      <w:szCs w:val="21"/>
                    </w:rPr>
                    <w:t>种类</w:t>
                  </w:r>
                </w:p>
              </w:tc>
              <w:tc>
                <w:tcPr>
                  <w:tcW w:w="2251" w:type="dxa"/>
                  <w:noWrap/>
                  <w:vAlign w:val="center"/>
                </w:tcPr>
                <w:p>
                  <w:pPr>
                    <w:jc w:val="center"/>
                    <w:rPr>
                      <w:color w:val="auto"/>
                      <w:szCs w:val="21"/>
                    </w:rPr>
                  </w:pPr>
                  <w:r>
                    <w:rPr>
                      <w:color w:val="auto"/>
                      <w:szCs w:val="21"/>
                    </w:rPr>
                    <w:t>污染物名称</w:t>
                  </w:r>
                </w:p>
              </w:tc>
              <w:tc>
                <w:tcPr>
                  <w:tcW w:w="1779" w:type="dxa"/>
                  <w:noWrap/>
                  <w:vAlign w:val="center"/>
                </w:tcPr>
                <w:p>
                  <w:pPr>
                    <w:widowControl/>
                    <w:jc w:val="center"/>
                    <w:rPr>
                      <w:color w:val="auto"/>
                      <w:kern w:val="0"/>
                      <w:szCs w:val="21"/>
                    </w:rPr>
                  </w:pPr>
                  <w:r>
                    <w:rPr>
                      <w:rFonts w:hint="eastAsia"/>
                      <w:color w:val="auto"/>
                      <w:kern w:val="0"/>
                      <w:szCs w:val="21"/>
                    </w:rPr>
                    <w:t>产生量</w:t>
                  </w:r>
                  <w:r>
                    <w:rPr>
                      <w:color w:val="auto"/>
                      <w:kern w:val="0"/>
                      <w:szCs w:val="21"/>
                    </w:rPr>
                    <w:t>（t/a）</w:t>
                  </w:r>
                </w:p>
              </w:tc>
              <w:tc>
                <w:tcPr>
                  <w:tcW w:w="1779" w:type="dxa"/>
                  <w:noWrap/>
                  <w:vAlign w:val="center"/>
                </w:tcPr>
                <w:p>
                  <w:pPr>
                    <w:widowControl/>
                    <w:jc w:val="center"/>
                    <w:rPr>
                      <w:color w:val="auto"/>
                      <w:kern w:val="0"/>
                      <w:szCs w:val="21"/>
                    </w:rPr>
                  </w:pPr>
                  <w:r>
                    <w:rPr>
                      <w:rFonts w:hint="eastAsia"/>
                      <w:color w:val="auto"/>
                      <w:kern w:val="0"/>
                      <w:szCs w:val="21"/>
                    </w:rPr>
                    <w:t>削减量（t/a）</w:t>
                  </w:r>
                </w:p>
              </w:tc>
              <w:tc>
                <w:tcPr>
                  <w:tcW w:w="1779" w:type="dxa"/>
                  <w:noWrap/>
                  <w:vAlign w:val="center"/>
                </w:tcPr>
                <w:p>
                  <w:pPr>
                    <w:widowControl/>
                    <w:jc w:val="center"/>
                    <w:rPr>
                      <w:color w:val="auto"/>
                      <w:kern w:val="0"/>
                      <w:szCs w:val="21"/>
                    </w:rPr>
                  </w:pPr>
                  <w:r>
                    <w:rPr>
                      <w:rFonts w:hint="eastAsia"/>
                      <w:color w:val="auto"/>
                      <w:kern w:val="0"/>
                      <w:szCs w:val="21"/>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restart"/>
                  <w:noWrap/>
                  <w:vAlign w:val="center"/>
                </w:tcPr>
                <w:p>
                  <w:pPr>
                    <w:jc w:val="center"/>
                    <w:rPr>
                      <w:color w:val="auto"/>
                      <w:szCs w:val="21"/>
                    </w:rPr>
                  </w:pPr>
                  <w:r>
                    <w:rPr>
                      <w:color w:val="auto"/>
                      <w:szCs w:val="21"/>
                    </w:rPr>
                    <w:t>废水</w:t>
                  </w: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废水量</w:t>
                  </w:r>
                </w:p>
              </w:tc>
              <w:tc>
                <w:tcPr>
                  <w:tcW w:w="1779"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161.28</w:t>
                  </w:r>
                </w:p>
              </w:tc>
              <w:tc>
                <w:tcPr>
                  <w:tcW w:w="1779" w:type="dxa"/>
                  <w:noWrap/>
                  <w:vAlign w:val="center"/>
                </w:tcPr>
                <w:p>
                  <w:pPr>
                    <w:spacing w:line="264" w:lineRule="auto"/>
                    <w:jc w:val="center"/>
                    <w:rPr>
                      <w:color w:val="auto"/>
                      <w:szCs w:val="21"/>
                    </w:rPr>
                  </w:pPr>
                  <w:r>
                    <w:rPr>
                      <w:rFonts w:hint="eastAsia"/>
                      <w:color w:val="auto"/>
                      <w:szCs w:val="21"/>
                    </w:rPr>
                    <w:t>0</w:t>
                  </w:r>
                </w:p>
              </w:tc>
              <w:tc>
                <w:tcPr>
                  <w:tcW w:w="1779"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161.28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COD</w:t>
                  </w:r>
                </w:p>
              </w:tc>
              <w:tc>
                <w:tcPr>
                  <w:tcW w:w="1779" w:type="dxa"/>
                  <w:noWrap/>
                  <w:vAlign w:val="center"/>
                </w:tcPr>
                <w:p>
                  <w:pPr>
                    <w:spacing w:line="264" w:lineRule="auto"/>
                    <w:jc w:val="center"/>
                    <w:rPr>
                      <w:color w:val="auto"/>
                      <w:szCs w:val="21"/>
                    </w:rPr>
                  </w:pPr>
                  <w:r>
                    <w:rPr>
                      <w:rFonts w:hint="eastAsia"/>
                      <w:snapToGrid w:val="0"/>
                      <w:color w:val="auto"/>
                      <w:szCs w:val="21"/>
                    </w:rPr>
                    <w:t>0.0806</w:t>
                  </w:r>
                </w:p>
              </w:tc>
              <w:tc>
                <w:tcPr>
                  <w:tcW w:w="1779" w:type="dxa"/>
                  <w:noWrap/>
                  <w:vAlign w:val="center"/>
                </w:tcPr>
                <w:p>
                  <w:pPr>
                    <w:spacing w:line="264" w:lineRule="auto"/>
                    <w:jc w:val="center"/>
                    <w:rPr>
                      <w:snapToGrid w:val="0"/>
                      <w:color w:val="auto"/>
                      <w:szCs w:val="21"/>
                    </w:rPr>
                  </w:pPr>
                  <w:r>
                    <w:rPr>
                      <w:rFonts w:hint="eastAsia"/>
                      <w:color w:val="auto"/>
                      <w:szCs w:val="21"/>
                    </w:rPr>
                    <w:t>0</w:t>
                  </w:r>
                </w:p>
              </w:tc>
              <w:tc>
                <w:tcPr>
                  <w:tcW w:w="1779" w:type="dxa"/>
                  <w:noWrap/>
                  <w:vAlign w:val="center"/>
                </w:tcPr>
                <w:p>
                  <w:pPr>
                    <w:spacing w:line="264" w:lineRule="auto"/>
                    <w:jc w:val="center"/>
                    <w:rPr>
                      <w:snapToGrid w:val="0"/>
                      <w:color w:val="auto"/>
                      <w:szCs w:val="21"/>
                    </w:rPr>
                  </w:pPr>
                  <w:r>
                    <w:rPr>
                      <w:rFonts w:hint="eastAsia"/>
                      <w:snapToGrid w:val="0"/>
                      <w:color w:val="auto"/>
                      <w:szCs w:val="21"/>
                    </w:rPr>
                    <w:t>0.0806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SS</w:t>
                  </w:r>
                </w:p>
              </w:tc>
              <w:tc>
                <w:tcPr>
                  <w:tcW w:w="1779" w:type="dxa"/>
                  <w:noWrap/>
                  <w:vAlign w:val="center"/>
                </w:tcPr>
                <w:p>
                  <w:pPr>
                    <w:spacing w:line="264" w:lineRule="auto"/>
                    <w:jc w:val="center"/>
                    <w:rPr>
                      <w:color w:val="auto"/>
                      <w:szCs w:val="21"/>
                    </w:rPr>
                  </w:pPr>
                  <w:r>
                    <w:rPr>
                      <w:rFonts w:hint="eastAsia"/>
                      <w:snapToGrid w:val="0"/>
                      <w:color w:val="auto"/>
                      <w:szCs w:val="21"/>
                    </w:rPr>
                    <w:t>0.0451</w:t>
                  </w:r>
                </w:p>
              </w:tc>
              <w:tc>
                <w:tcPr>
                  <w:tcW w:w="1779" w:type="dxa"/>
                  <w:noWrap/>
                  <w:vAlign w:val="center"/>
                </w:tcPr>
                <w:p>
                  <w:pPr>
                    <w:spacing w:line="264" w:lineRule="auto"/>
                    <w:jc w:val="center"/>
                    <w:rPr>
                      <w:snapToGrid w:val="0"/>
                      <w:color w:val="auto"/>
                      <w:szCs w:val="21"/>
                    </w:rPr>
                  </w:pPr>
                  <w:r>
                    <w:rPr>
                      <w:rFonts w:hint="eastAsia"/>
                      <w:color w:val="auto"/>
                      <w:szCs w:val="21"/>
                    </w:rPr>
                    <w:t>0</w:t>
                  </w:r>
                </w:p>
              </w:tc>
              <w:tc>
                <w:tcPr>
                  <w:tcW w:w="1779" w:type="dxa"/>
                  <w:noWrap/>
                  <w:vAlign w:val="center"/>
                </w:tcPr>
                <w:p>
                  <w:pPr>
                    <w:spacing w:line="264" w:lineRule="auto"/>
                    <w:jc w:val="center"/>
                    <w:rPr>
                      <w:snapToGrid w:val="0"/>
                      <w:color w:val="auto"/>
                      <w:szCs w:val="21"/>
                    </w:rPr>
                  </w:pPr>
                  <w:r>
                    <w:rPr>
                      <w:rFonts w:hint="eastAsia"/>
                      <w:snapToGrid w:val="0"/>
                      <w:color w:val="auto"/>
                      <w:szCs w:val="21"/>
                    </w:rPr>
                    <w:t>0.0451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NH</w:t>
                  </w:r>
                  <w:r>
                    <w:rPr>
                      <w:rFonts w:ascii="Times New Roman" w:hAnsi="Times New Roman"/>
                      <w:color w:val="auto"/>
                      <w:sz w:val="21"/>
                      <w:szCs w:val="21"/>
                      <w:vertAlign w:val="subscript"/>
                    </w:rPr>
                    <w:t>3</w:t>
                  </w:r>
                  <w:r>
                    <w:rPr>
                      <w:rFonts w:ascii="Times New Roman" w:hAnsi="Times New Roman"/>
                      <w:color w:val="auto"/>
                      <w:sz w:val="21"/>
                      <w:szCs w:val="21"/>
                    </w:rPr>
                    <w:t>-N</w:t>
                  </w:r>
                </w:p>
              </w:tc>
              <w:tc>
                <w:tcPr>
                  <w:tcW w:w="1779" w:type="dxa"/>
                  <w:noWrap/>
                  <w:vAlign w:val="center"/>
                </w:tcPr>
                <w:p>
                  <w:pPr>
                    <w:spacing w:line="264" w:lineRule="auto"/>
                    <w:jc w:val="center"/>
                    <w:rPr>
                      <w:color w:val="auto"/>
                      <w:szCs w:val="21"/>
                    </w:rPr>
                  </w:pPr>
                  <w:r>
                    <w:rPr>
                      <w:rFonts w:hint="eastAsia"/>
                      <w:snapToGrid w:val="0"/>
                      <w:color w:val="auto"/>
                      <w:szCs w:val="21"/>
                    </w:rPr>
                    <w:t>0.0073</w:t>
                  </w:r>
                </w:p>
              </w:tc>
              <w:tc>
                <w:tcPr>
                  <w:tcW w:w="1779" w:type="dxa"/>
                  <w:noWrap/>
                  <w:vAlign w:val="center"/>
                </w:tcPr>
                <w:p>
                  <w:pPr>
                    <w:spacing w:line="264" w:lineRule="auto"/>
                    <w:jc w:val="center"/>
                    <w:rPr>
                      <w:snapToGrid w:val="0"/>
                      <w:color w:val="auto"/>
                      <w:szCs w:val="21"/>
                    </w:rPr>
                  </w:pPr>
                  <w:r>
                    <w:rPr>
                      <w:rFonts w:hint="eastAsia"/>
                      <w:color w:val="auto"/>
                      <w:szCs w:val="21"/>
                    </w:rPr>
                    <w:t>0</w:t>
                  </w:r>
                </w:p>
              </w:tc>
              <w:tc>
                <w:tcPr>
                  <w:tcW w:w="1779" w:type="dxa"/>
                  <w:noWrap/>
                  <w:vAlign w:val="center"/>
                </w:tcPr>
                <w:p>
                  <w:pPr>
                    <w:spacing w:line="264" w:lineRule="auto"/>
                    <w:jc w:val="center"/>
                    <w:rPr>
                      <w:snapToGrid w:val="0"/>
                      <w:color w:val="auto"/>
                      <w:szCs w:val="21"/>
                    </w:rPr>
                  </w:pPr>
                  <w:r>
                    <w:rPr>
                      <w:rFonts w:hint="eastAsia"/>
                      <w:snapToGrid w:val="0"/>
                      <w:color w:val="auto"/>
                      <w:szCs w:val="21"/>
                    </w:rPr>
                    <w:t>0.0073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TP</w:t>
                  </w:r>
                </w:p>
              </w:tc>
              <w:tc>
                <w:tcPr>
                  <w:tcW w:w="1779" w:type="dxa"/>
                  <w:noWrap/>
                  <w:vAlign w:val="center"/>
                </w:tcPr>
                <w:p>
                  <w:pPr>
                    <w:spacing w:line="264" w:lineRule="auto"/>
                    <w:jc w:val="center"/>
                    <w:rPr>
                      <w:color w:val="auto"/>
                      <w:szCs w:val="21"/>
                    </w:rPr>
                  </w:pPr>
                  <w:r>
                    <w:rPr>
                      <w:rFonts w:hint="eastAsia"/>
                      <w:snapToGrid w:val="0"/>
                      <w:color w:val="auto"/>
                      <w:szCs w:val="21"/>
                    </w:rPr>
                    <w:t>0.0013</w:t>
                  </w:r>
                </w:p>
              </w:tc>
              <w:tc>
                <w:tcPr>
                  <w:tcW w:w="1779" w:type="dxa"/>
                  <w:noWrap/>
                  <w:vAlign w:val="center"/>
                </w:tcPr>
                <w:p>
                  <w:pPr>
                    <w:spacing w:line="264" w:lineRule="auto"/>
                    <w:jc w:val="center"/>
                    <w:rPr>
                      <w:snapToGrid w:val="0"/>
                      <w:color w:val="auto"/>
                      <w:szCs w:val="21"/>
                    </w:rPr>
                  </w:pPr>
                  <w:r>
                    <w:rPr>
                      <w:rFonts w:hint="eastAsia"/>
                      <w:color w:val="auto"/>
                      <w:szCs w:val="21"/>
                    </w:rPr>
                    <w:t>0</w:t>
                  </w:r>
                </w:p>
              </w:tc>
              <w:tc>
                <w:tcPr>
                  <w:tcW w:w="1779" w:type="dxa"/>
                  <w:noWrap/>
                  <w:vAlign w:val="center"/>
                </w:tcPr>
                <w:p>
                  <w:pPr>
                    <w:spacing w:line="264" w:lineRule="auto"/>
                    <w:jc w:val="center"/>
                    <w:rPr>
                      <w:snapToGrid w:val="0"/>
                      <w:color w:val="auto"/>
                      <w:szCs w:val="21"/>
                    </w:rPr>
                  </w:pPr>
                  <w:r>
                    <w:rPr>
                      <w:rFonts w:hint="eastAsia"/>
                      <w:snapToGrid w:val="0"/>
                      <w:color w:val="auto"/>
                      <w:szCs w:val="21"/>
                    </w:rPr>
                    <w:t>0.0013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TN</w:t>
                  </w:r>
                </w:p>
              </w:tc>
              <w:tc>
                <w:tcPr>
                  <w:tcW w:w="1779" w:type="dxa"/>
                  <w:noWrap/>
                  <w:vAlign w:val="center"/>
                </w:tcPr>
                <w:p>
                  <w:pPr>
                    <w:spacing w:line="264" w:lineRule="auto"/>
                    <w:jc w:val="center"/>
                    <w:rPr>
                      <w:color w:val="auto"/>
                      <w:szCs w:val="21"/>
                    </w:rPr>
                  </w:pPr>
                  <w:r>
                    <w:rPr>
                      <w:rFonts w:hint="eastAsia"/>
                      <w:snapToGrid w:val="0"/>
                      <w:color w:val="auto"/>
                      <w:szCs w:val="21"/>
                    </w:rPr>
                    <w:t>0.0113</w:t>
                  </w:r>
                </w:p>
              </w:tc>
              <w:tc>
                <w:tcPr>
                  <w:tcW w:w="1779" w:type="dxa"/>
                  <w:noWrap/>
                  <w:vAlign w:val="center"/>
                </w:tcPr>
                <w:p>
                  <w:pPr>
                    <w:spacing w:line="264" w:lineRule="auto"/>
                    <w:jc w:val="center"/>
                    <w:rPr>
                      <w:snapToGrid w:val="0"/>
                      <w:color w:val="auto"/>
                      <w:szCs w:val="21"/>
                    </w:rPr>
                  </w:pPr>
                  <w:r>
                    <w:rPr>
                      <w:rFonts w:hint="eastAsia"/>
                      <w:color w:val="auto"/>
                      <w:szCs w:val="21"/>
                    </w:rPr>
                    <w:t>0</w:t>
                  </w:r>
                </w:p>
              </w:tc>
              <w:tc>
                <w:tcPr>
                  <w:tcW w:w="1779" w:type="dxa"/>
                  <w:noWrap/>
                  <w:vAlign w:val="center"/>
                </w:tcPr>
                <w:p>
                  <w:pPr>
                    <w:spacing w:line="264" w:lineRule="auto"/>
                    <w:jc w:val="center"/>
                    <w:rPr>
                      <w:snapToGrid w:val="0"/>
                      <w:color w:val="auto"/>
                      <w:szCs w:val="21"/>
                    </w:rPr>
                  </w:pPr>
                  <w:r>
                    <w:rPr>
                      <w:rFonts w:hint="eastAsia"/>
                      <w:snapToGrid w:val="0"/>
                      <w:color w:val="auto"/>
                      <w:szCs w:val="21"/>
                    </w:rPr>
                    <w:t>0.0113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restart"/>
                  <w:noWrap/>
                  <w:vAlign w:val="center"/>
                </w:tcPr>
                <w:p>
                  <w:pPr>
                    <w:jc w:val="center"/>
                    <w:rPr>
                      <w:color w:val="auto"/>
                      <w:szCs w:val="21"/>
                    </w:rPr>
                  </w:pPr>
                  <w:r>
                    <w:rPr>
                      <w:color w:val="auto"/>
                      <w:szCs w:val="21"/>
                    </w:rPr>
                    <w:t>固废</w:t>
                  </w: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生活垃圾</w:t>
                  </w:r>
                </w:p>
              </w:tc>
              <w:tc>
                <w:tcPr>
                  <w:tcW w:w="1779" w:type="dxa"/>
                  <w:noWrap/>
                  <w:vAlign w:val="center"/>
                </w:tcPr>
                <w:p>
                  <w:pPr>
                    <w:widowControl/>
                    <w:jc w:val="center"/>
                    <w:textAlignment w:val="center"/>
                    <w:rPr>
                      <w:color w:val="auto"/>
                      <w:szCs w:val="21"/>
                    </w:rPr>
                  </w:pPr>
                  <w:r>
                    <w:rPr>
                      <w:rFonts w:hint="eastAsia"/>
                      <w:color w:val="auto"/>
                      <w:szCs w:val="21"/>
                    </w:rPr>
                    <w:t>1.68</w:t>
                  </w:r>
                </w:p>
              </w:tc>
              <w:tc>
                <w:tcPr>
                  <w:tcW w:w="1779" w:type="dxa"/>
                  <w:noWrap/>
                  <w:vAlign w:val="center"/>
                </w:tcPr>
                <w:p>
                  <w:pPr>
                    <w:widowControl/>
                    <w:jc w:val="center"/>
                    <w:textAlignment w:val="center"/>
                    <w:rPr>
                      <w:color w:val="auto"/>
                      <w:szCs w:val="21"/>
                    </w:rPr>
                  </w:pPr>
                  <w:r>
                    <w:rPr>
                      <w:rFonts w:hint="eastAsia"/>
                      <w:color w:val="auto"/>
                      <w:szCs w:val="21"/>
                    </w:rPr>
                    <w:t>1.68</w:t>
                  </w:r>
                </w:p>
              </w:tc>
              <w:tc>
                <w:tcPr>
                  <w:tcW w:w="1779" w:type="dxa"/>
                  <w:noWrap/>
                  <w:vAlign w:val="center"/>
                </w:tcPr>
                <w:p>
                  <w:pPr>
                    <w:widowControl/>
                    <w:jc w:val="center"/>
                    <w:textAlignment w:val="center"/>
                    <w:rPr>
                      <w:color w:val="auto"/>
                      <w:szCs w:val="21"/>
                    </w:rPr>
                  </w:pPr>
                  <w:r>
                    <w:rPr>
                      <w:rFonts w:hint="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不合格品</w:t>
                  </w:r>
                </w:p>
              </w:tc>
              <w:tc>
                <w:tcPr>
                  <w:tcW w:w="1779" w:type="dxa"/>
                  <w:noWrap/>
                  <w:vAlign w:val="center"/>
                </w:tcPr>
                <w:p>
                  <w:pPr>
                    <w:widowControl/>
                    <w:jc w:val="center"/>
                    <w:textAlignment w:val="center"/>
                    <w:rPr>
                      <w:color w:val="auto"/>
                      <w:szCs w:val="21"/>
                    </w:rPr>
                  </w:pPr>
                  <w:r>
                    <w:rPr>
                      <w:rFonts w:hint="eastAsia"/>
                      <w:color w:val="auto"/>
                      <w:szCs w:val="21"/>
                    </w:rPr>
                    <w:t>20</w:t>
                  </w:r>
                </w:p>
              </w:tc>
              <w:tc>
                <w:tcPr>
                  <w:tcW w:w="1779" w:type="dxa"/>
                  <w:noWrap/>
                  <w:vAlign w:val="center"/>
                </w:tcPr>
                <w:p>
                  <w:pPr>
                    <w:widowControl/>
                    <w:jc w:val="center"/>
                    <w:textAlignment w:val="center"/>
                    <w:rPr>
                      <w:color w:val="auto"/>
                      <w:szCs w:val="21"/>
                    </w:rPr>
                  </w:pPr>
                  <w:r>
                    <w:rPr>
                      <w:rFonts w:hint="eastAsia"/>
                      <w:color w:val="auto"/>
                      <w:szCs w:val="21"/>
                    </w:rPr>
                    <w:t>20</w:t>
                  </w:r>
                </w:p>
              </w:tc>
              <w:tc>
                <w:tcPr>
                  <w:tcW w:w="1779" w:type="dxa"/>
                  <w:noWrap/>
                  <w:vAlign w:val="center"/>
                </w:tcPr>
                <w:p>
                  <w:pPr>
                    <w:widowControl/>
                    <w:jc w:val="center"/>
                    <w:textAlignment w:val="center"/>
                    <w:rPr>
                      <w:color w:val="auto"/>
                      <w:szCs w:val="21"/>
                    </w:rPr>
                  </w:pPr>
                  <w:r>
                    <w:rPr>
                      <w:rFonts w:hint="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废包装桶</w:t>
                  </w:r>
                </w:p>
              </w:tc>
              <w:tc>
                <w:tcPr>
                  <w:tcW w:w="1779" w:type="dxa"/>
                  <w:noWrap/>
                  <w:vAlign w:val="center"/>
                </w:tcPr>
                <w:p>
                  <w:pPr>
                    <w:widowControl/>
                    <w:jc w:val="center"/>
                    <w:textAlignment w:val="center"/>
                    <w:rPr>
                      <w:color w:val="auto"/>
                      <w:szCs w:val="21"/>
                    </w:rPr>
                  </w:pPr>
                  <w:r>
                    <w:rPr>
                      <w:rFonts w:hint="eastAsia"/>
                      <w:color w:val="auto"/>
                      <w:szCs w:val="21"/>
                    </w:rPr>
                    <w:t>0.5</w:t>
                  </w:r>
                </w:p>
              </w:tc>
              <w:tc>
                <w:tcPr>
                  <w:tcW w:w="1779" w:type="dxa"/>
                  <w:noWrap/>
                  <w:vAlign w:val="center"/>
                </w:tcPr>
                <w:p>
                  <w:pPr>
                    <w:widowControl/>
                    <w:jc w:val="center"/>
                    <w:textAlignment w:val="center"/>
                    <w:rPr>
                      <w:color w:val="auto"/>
                      <w:szCs w:val="21"/>
                    </w:rPr>
                  </w:pPr>
                  <w:r>
                    <w:rPr>
                      <w:rFonts w:hint="eastAsia"/>
                      <w:color w:val="auto"/>
                      <w:szCs w:val="21"/>
                    </w:rPr>
                    <w:t>0.5</w:t>
                  </w:r>
                </w:p>
              </w:tc>
              <w:tc>
                <w:tcPr>
                  <w:tcW w:w="1779" w:type="dxa"/>
                  <w:noWrap/>
                  <w:vAlign w:val="center"/>
                </w:tcPr>
                <w:p>
                  <w:pPr>
                    <w:widowControl/>
                    <w:jc w:val="center"/>
                    <w:textAlignment w:val="center"/>
                    <w:rPr>
                      <w:color w:val="auto"/>
                      <w:szCs w:val="21"/>
                    </w:rPr>
                  </w:pPr>
                  <w:r>
                    <w:rPr>
                      <w:rFonts w:hint="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废包装瓶</w:t>
                  </w:r>
                </w:p>
              </w:tc>
              <w:tc>
                <w:tcPr>
                  <w:tcW w:w="1779" w:type="dxa"/>
                  <w:noWrap/>
                  <w:vAlign w:val="center"/>
                </w:tcPr>
                <w:p>
                  <w:pPr>
                    <w:widowControl/>
                    <w:jc w:val="center"/>
                    <w:textAlignment w:val="center"/>
                    <w:rPr>
                      <w:color w:val="auto"/>
                      <w:szCs w:val="21"/>
                    </w:rPr>
                  </w:pPr>
                  <w:r>
                    <w:rPr>
                      <w:rFonts w:hint="eastAsia"/>
                      <w:color w:val="auto"/>
                      <w:szCs w:val="21"/>
                    </w:rPr>
                    <w:t>0.1</w:t>
                  </w:r>
                </w:p>
              </w:tc>
              <w:tc>
                <w:tcPr>
                  <w:tcW w:w="1779" w:type="dxa"/>
                  <w:noWrap/>
                  <w:vAlign w:val="center"/>
                </w:tcPr>
                <w:p>
                  <w:pPr>
                    <w:widowControl/>
                    <w:jc w:val="center"/>
                    <w:textAlignment w:val="center"/>
                    <w:rPr>
                      <w:color w:val="auto"/>
                      <w:szCs w:val="21"/>
                    </w:rPr>
                  </w:pPr>
                  <w:r>
                    <w:rPr>
                      <w:rFonts w:hint="eastAsia"/>
                      <w:color w:val="auto"/>
                      <w:szCs w:val="21"/>
                    </w:rPr>
                    <w:t>0.1</w:t>
                  </w:r>
                </w:p>
              </w:tc>
              <w:tc>
                <w:tcPr>
                  <w:tcW w:w="1779" w:type="dxa"/>
                  <w:noWrap/>
                  <w:vAlign w:val="center"/>
                </w:tcPr>
                <w:p>
                  <w:pPr>
                    <w:widowControl/>
                    <w:jc w:val="center"/>
                    <w:textAlignment w:val="center"/>
                    <w:rPr>
                      <w:color w:val="auto"/>
                      <w:szCs w:val="21"/>
                    </w:rPr>
                  </w:pPr>
                  <w:r>
                    <w:rPr>
                      <w:rFonts w:hint="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vMerge w:val="continue"/>
                  <w:noWrap/>
                  <w:vAlign w:val="center"/>
                </w:tcPr>
                <w:p>
                  <w:pPr>
                    <w:jc w:val="center"/>
                    <w:rPr>
                      <w:color w:val="auto"/>
                      <w:szCs w:val="21"/>
                    </w:rPr>
                  </w:pPr>
                </w:p>
              </w:tc>
              <w:tc>
                <w:tcPr>
                  <w:tcW w:w="2251" w:type="dxa"/>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废抹布</w:t>
                  </w:r>
                </w:p>
              </w:tc>
              <w:tc>
                <w:tcPr>
                  <w:tcW w:w="1779" w:type="dxa"/>
                  <w:noWrap/>
                  <w:vAlign w:val="center"/>
                </w:tcPr>
                <w:p>
                  <w:pPr>
                    <w:widowControl/>
                    <w:jc w:val="center"/>
                    <w:textAlignment w:val="center"/>
                    <w:rPr>
                      <w:color w:val="auto"/>
                      <w:szCs w:val="21"/>
                    </w:rPr>
                  </w:pPr>
                  <w:r>
                    <w:rPr>
                      <w:rFonts w:hint="eastAsia"/>
                      <w:color w:val="auto"/>
                      <w:szCs w:val="21"/>
                    </w:rPr>
                    <w:t>0.1</w:t>
                  </w:r>
                </w:p>
              </w:tc>
              <w:tc>
                <w:tcPr>
                  <w:tcW w:w="1779" w:type="dxa"/>
                  <w:noWrap/>
                  <w:vAlign w:val="center"/>
                </w:tcPr>
                <w:p>
                  <w:pPr>
                    <w:widowControl/>
                    <w:jc w:val="center"/>
                    <w:textAlignment w:val="center"/>
                    <w:rPr>
                      <w:color w:val="auto"/>
                      <w:szCs w:val="21"/>
                    </w:rPr>
                  </w:pPr>
                  <w:r>
                    <w:rPr>
                      <w:rFonts w:hint="eastAsia"/>
                      <w:color w:val="auto"/>
                      <w:szCs w:val="21"/>
                    </w:rPr>
                    <w:t>0.1</w:t>
                  </w:r>
                </w:p>
              </w:tc>
              <w:tc>
                <w:tcPr>
                  <w:tcW w:w="1779" w:type="dxa"/>
                  <w:noWrap/>
                  <w:vAlign w:val="center"/>
                </w:tcPr>
                <w:p>
                  <w:pPr>
                    <w:widowControl/>
                    <w:jc w:val="center"/>
                    <w:textAlignment w:val="center"/>
                    <w:rPr>
                      <w:color w:val="auto"/>
                      <w:szCs w:val="21"/>
                    </w:rPr>
                  </w:pPr>
                  <w:r>
                    <w:rPr>
                      <w:rFonts w:hint="eastAsia"/>
                      <w:color w:val="auto"/>
                      <w:szCs w:val="21"/>
                    </w:rPr>
                    <w:t>0</w:t>
                  </w:r>
                </w:p>
              </w:tc>
            </w:tr>
          </w:tbl>
          <w:p>
            <w:pPr>
              <w:adjustRightInd w:val="0"/>
              <w:snapToGrid w:val="0"/>
              <w:spacing w:line="360" w:lineRule="auto"/>
              <w:ind w:firstLine="482" w:firstLineChars="200"/>
              <w:rPr>
                <w:b/>
                <w:bCs/>
                <w:color w:val="auto"/>
                <w:sz w:val="24"/>
              </w:rPr>
            </w:pPr>
            <w:r>
              <w:rPr>
                <w:rFonts w:hint="eastAsia"/>
                <w:b/>
                <w:bCs/>
                <w:color w:val="auto"/>
                <w:kern w:val="0"/>
                <w:sz w:val="24"/>
              </w:rPr>
              <w:t>5、</w:t>
            </w:r>
            <w:r>
              <w:rPr>
                <w:rFonts w:hint="eastAsia"/>
                <w:b/>
                <w:bCs/>
                <w:color w:val="auto"/>
                <w:sz w:val="24"/>
              </w:rPr>
              <w:t>排污许可证申报情况</w:t>
            </w:r>
          </w:p>
          <w:p>
            <w:pPr>
              <w:widowControl/>
              <w:spacing w:line="360" w:lineRule="auto"/>
              <w:ind w:firstLine="480" w:firstLineChars="200"/>
              <w:jc w:val="left"/>
              <w:rPr>
                <w:color w:val="auto"/>
                <w:kern w:val="0"/>
                <w:sz w:val="24"/>
              </w:rPr>
            </w:pPr>
            <w:r>
              <w:rPr>
                <w:rFonts w:hint="eastAsia"/>
                <w:color w:val="auto"/>
                <w:kern w:val="0"/>
                <w:sz w:val="24"/>
              </w:rPr>
              <w:t>现有项目为专用设备制造中仅组装项目，对照《固定污染源排污许可分类管理名录》（2019年版），需要申请排污登记，现有项目未进行排污登记，等待此项目审批后完善申请排污登记。</w:t>
            </w:r>
          </w:p>
          <w:p>
            <w:pPr>
              <w:widowControl/>
              <w:spacing w:line="360" w:lineRule="auto"/>
              <w:ind w:firstLine="482" w:firstLineChars="200"/>
              <w:jc w:val="left"/>
              <w:rPr>
                <w:b/>
                <w:bCs/>
                <w:color w:val="auto"/>
                <w:kern w:val="0"/>
                <w:sz w:val="24"/>
              </w:rPr>
            </w:pPr>
            <w:r>
              <w:rPr>
                <w:rFonts w:hint="eastAsia"/>
                <w:b/>
                <w:bCs/>
                <w:color w:val="auto"/>
                <w:kern w:val="0"/>
                <w:sz w:val="24"/>
              </w:rPr>
              <w:t>6</w:t>
            </w:r>
            <w:r>
              <w:rPr>
                <w:b/>
                <w:bCs/>
                <w:color w:val="auto"/>
                <w:kern w:val="0"/>
                <w:sz w:val="24"/>
              </w:rPr>
              <w:t>、现有项目主要环境问题及整改措施</w:t>
            </w:r>
          </w:p>
          <w:p>
            <w:pPr>
              <w:widowControl/>
              <w:spacing w:line="360" w:lineRule="auto"/>
              <w:ind w:firstLine="480" w:firstLineChars="200"/>
              <w:jc w:val="left"/>
              <w:rPr>
                <w:rFonts w:hint="eastAsia"/>
                <w:bCs/>
                <w:color w:val="auto"/>
                <w:sz w:val="24"/>
                <w:lang w:eastAsia="zh-CN"/>
              </w:rPr>
            </w:pPr>
            <w:r>
              <w:rPr>
                <w:rFonts w:hint="eastAsia"/>
                <w:bCs/>
                <w:color w:val="auto"/>
                <w:sz w:val="24"/>
                <w:lang w:eastAsia="zh-CN"/>
              </w:rPr>
              <w:t>（</w:t>
            </w:r>
            <w:r>
              <w:rPr>
                <w:rFonts w:hint="eastAsia"/>
                <w:bCs/>
                <w:color w:val="auto"/>
                <w:sz w:val="24"/>
                <w:lang w:val="en-US" w:eastAsia="zh-CN"/>
              </w:rPr>
              <w:t>1</w:t>
            </w:r>
            <w:r>
              <w:rPr>
                <w:rFonts w:hint="eastAsia"/>
                <w:bCs/>
                <w:color w:val="auto"/>
                <w:sz w:val="24"/>
                <w:lang w:eastAsia="zh-CN"/>
              </w:rPr>
              <w:t>）主要环保问题</w:t>
            </w:r>
          </w:p>
          <w:p>
            <w:pPr>
              <w:widowControl/>
              <w:spacing w:line="360" w:lineRule="auto"/>
              <w:ind w:firstLine="480" w:firstLineChars="200"/>
              <w:jc w:val="left"/>
              <w:rPr>
                <w:rFonts w:hint="eastAsia" w:eastAsia="宋体"/>
                <w:bCs/>
                <w:color w:val="auto"/>
                <w:sz w:val="24"/>
                <w:lang w:eastAsia="zh-CN"/>
              </w:rPr>
            </w:pPr>
            <w:r>
              <w:rPr>
                <w:rFonts w:hint="eastAsia"/>
                <w:bCs/>
                <w:color w:val="auto"/>
                <w:sz w:val="24"/>
                <w:lang w:eastAsia="zh-CN"/>
              </w:rPr>
              <w:t>现有项目未进行</w:t>
            </w:r>
            <w:r>
              <w:rPr>
                <w:rFonts w:hint="eastAsia"/>
                <w:color w:val="auto"/>
                <w:kern w:val="0"/>
                <w:sz w:val="24"/>
                <w:lang w:eastAsia="zh-CN"/>
              </w:rPr>
              <w:t>排污登记申请</w:t>
            </w:r>
            <w:r>
              <w:rPr>
                <w:rFonts w:hint="eastAsia"/>
                <w:bCs/>
                <w:color w:val="auto"/>
                <w:sz w:val="24"/>
                <w:lang w:eastAsia="zh-CN"/>
              </w:rPr>
              <w:t>，待本项目建成后，对照</w:t>
            </w:r>
            <w:r>
              <w:rPr>
                <w:rFonts w:hint="eastAsia"/>
                <w:color w:val="auto"/>
                <w:kern w:val="0"/>
                <w:sz w:val="24"/>
              </w:rPr>
              <w:t>《固定污染源排污许可分类管理名录》（2019年版）</w:t>
            </w:r>
            <w:r>
              <w:rPr>
                <w:rFonts w:hint="eastAsia"/>
                <w:color w:val="auto"/>
                <w:kern w:val="0"/>
                <w:sz w:val="24"/>
                <w:lang w:eastAsia="zh-CN"/>
              </w:rPr>
              <w:t>文件要求进行排污登记申请。</w:t>
            </w:r>
          </w:p>
        </w:tc>
      </w:tr>
    </w:tbl>
    <w:p>
      <w:pPr>
        <w:pStyle w:val="16"/>
        <w:jc w:val="center"/>
        <w:rPr>
          <w:rFonts w:ascii="Times New Roman" w:hAnsi="Times New Roman"/>
          <w:snapToGrid w:val="0"/>
          <w:color w:val="auto"/>
          <w:sz w:val="36"/>
          <w:szCs w:val="36"/>
        </w:rPr>
        <w:sectPr>
          <w:pgSz w:w="11906" w:h="16838"/>
          <w:pgMar w:top="1701" w:right="1531" w:bottom="1701" w:left="1531" w:header="851" w:footer="851" w:gutter="0"/>
          <w:cols w:space="720" w:num="1"/>
          <w:docGrid w:linePitch="312" w:charSpace="0"/>
        </w:sectPr>
      </w:pPr>
    </w:p>
    <w:p>
      <w:pPr>
        <w:pStyle w:val="16"/>
        <w:adjustRightInd w:val="0"/>
        <w:snapToGrid w:val="0"/>
        <w:spacing w:beforeLines="50" w:beforeAutospacing="0" w:afterLines="50" w:afterAutospacing="0"/>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三、区域环境质量现状、环境保护目标及评价标准</w:t>
      </w:r>
    </w:p>
    <w:tbl>
      <w:tblPr>
        <w:tblStyle w:val="19"/>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1"/>
        <w:gridCol w:w="85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2" w:type="pct"/>
            <w:noWrap/>
            <w:vAlign w:val="center"/>
          </w:tcPr>
          <w:p>
            <w:pPr>
              <w:adjustRightInd w:val="0"/>
              <w:snapToGrid w:val="0"/>
              <w:jc w:val="center"/>
              <w:rPr>
                <w:color w:val="auto"/>
                <w:kern w:val="0"/>
                <w:sz w:val="24"/>
              </w:rPr>
            </w:pPr>
            <w:r>
              <w:rPr>
                <w:color w:val="auto"/>
                <w:kern w:val="0"/>
                <w:sz w:val="24"/>
              </w:rPr>
              <w:t>区</w:t>
            </w:r>
          </w:p>
          <w:p>
            <w:pPr>
              <w:adjustRightInd w:val="0"/>
              <w:snapToGrid w:val="0"/>
              <w:jc w:val="center"/>
              <w:rPr>
                <w:color w:val="auto"/>
                <w:kern w:val="0"/>
                <w:sz w:val="24"/>
              </w:rPr>
            </w:pPr>
            <w:r>
              <w:rPr>
                <w:color w:val="auto"/>
                <w:kern w:val="0"/>
                <w:sz w:val="24"/>
              </w:rPr>
              <w:t>域</w:t>
            </w:r>
          </w:p>
          <w:p>
            <w:pPr>
              <w:adjustRightInd w:val="0"/>
              <w:snapToGrid w:val="0"/>
              <w:jc w:val="center"/>
              <w:rPr>
                <w:color w:val="auto"/>
                <w:kern w:val="0"/>
                <w:sz w:val="24"/>
              </w:rPr>
            </w:pPr>
            <w:r>
              <w:rPr>
                <w:color w:val="auto"/>
                <w:kern w:val="0"/>
                <w:sz w:val="24"/>
              </w:rPr>
              <w:t>环</w:t>
            </w:r>
          </w:p>
          <w:p>
            <w:pPr>
              <w:adjustRightInd w:val="0"/>
              <w:snapToGrid w:val="0"/>
              <w:jc w:val="center"/>
              <w:rPr>
                <w:color w:val="auto"/>
                <w:kern w:val="0"/>
                <w:sz w:val="24"/>
              </w:rPr>
            </w:pPr>
            <w:r>
              <w:rPr>
                <w:color w:val="auto"/>
                <w:kern w:val="0"/>
                <w:sz w:val="24"/>
              </w:rPr>
              <w:t>境</w:t>
            </w:r>
          </w:p>
          <w:p>
            <w:pPr>
              <w:adjustRightInd w:val="0"/>
              <w:snapToGrid w:val="0"/>
              <w:jc w:val="center"/>
              <w:rPr>
                <w:color w:val="auto"/>
                <w:kern w:val="0"/>
                <w:sz w:val="24"/>
              </w:rPr>
            </w:pPr>
            <w:r>
              <w:rPr>
                <w:color w:val="auto"/>
                <w:kern w:val="0"/>
                <w:sz w:val="24"/>
              </w:rPr>
              <w:t>质</w:t>
            </w:r>
          </w:p>
          <w:p>
            <w:pPr>
              <w:adjustRightInd w:val="0"/>
              <w:snapToGrid w:val="0"/>
              <w:jc w:val="center"/>
              <w:rPr>
                <w:color w:val="auto"/>
                <w:kern w:val="0"/>
                <w:sz w:val="24"/>
              </w:rPr>
            </w:pPr>
            <w:r>
              <w:rPr>
                <w:color w:val="auto"/>
                <w:kern w:val="0"/>
                <w:sz w:val="24"/>
              </w:rPr>
              <w:t>量</w:t>
            </w:r>
          </w:p>
          <w:p>
            <w:pPr>
              <w:adjustRightInd w:val="0"/>
              <w:snapToGrid w:val="0"/>
              <w:jc w:val="center"/>
              <w:rPr>
                <w:color w:val="auto"/>
                <w:kern w:val="0"/>
                <w:sz w:val="24"/>
              </w:rPr>
            </w:pPr>
            <w:r>
              <w:rPr>
                <w:color w:val="auto"/>
                <w:kern w:val="0"/>
                <w:sz w:val="24"/>
              </w:rPr>
              <w:t>现</w:t>
            </w:r>
          </w:p>
          <w:p>
            <w:pPr>
              <w:adjustRightInd w:val="0"/>
              <w:snapToGrid w:val="0"/>
              <w:jc w:val="center"/>
              <w:rPr>
                <w:color w:val="auto"/>
                <w:kern w:val="0"/>
                <w:szCs w:val="21"/>
              </w:rPr>
            </w:pPr>
            <w:r>
              <w:rPr>
                <w:color w:val="auto"/>
                <w:kern w:val="0"/>
                <w:sz w:val="24"/>
              </w:rPr>
              <w:t>状</w:t>
            </w:r>
          </w:p>
        </w:tc>
        <w:tc>
          <w:tcPr>
            <w:tcW w:w="4717" w:type="pct"/>
            <w:noWrap/>
          </w:tcPr>
          <w:p>
            <w:pPr>
              <w:spacing w:line="360" w:lineRule="auto"/>
              <w:rPr>
                <w:b/>
                <w:bCs/>
                <w:color w:val="auto"/>
                <w:sz w:val="24"/>
              </w:rPr>
            </w:pPr>
            <w:r>
              <w:rPr>
                <w:b/>
                <w:bCs/>
                <w:color w:val="auto"/>
                <w:sz w:val="24"/>
              </w:rPr>
              <w:t>1、大气环境质量现状</w:t>
            </w:r>
          </w:p>
          <w:p>
            <w:pPr>
              <w:spacing w:line="360" w:lineRule="auto"/>
              <w:ind w:firstLine="480" w:firstLineChars="200"/>
              <w:rPr>
                <w:color w:val="auto"/>
                <w:sz w:val="24"/>
              </w:rPr>
            </w:pPr>
            <w:r>
              <w:rPr>
                <w:color w:val="auto"/>
                <w:sz w:val="24"/>
              </w:rPr>
              <w:t>根据《2022年度常熟市生态环境状况公报》，2022年常熟市城区环境空气质量中二氧化硫、二氧化氮、可吸入颗粒物、细颗粒物、一氧化碳五项监测项目年度评价指标达到国家二级标准，臭氧年度评价指标未达到国家二级标准。</w:t>
            </w:r>
          </w:p>
          <w:p>
            <w:pPr>
              <w:spacing w:line="360" w:lineRule="auto"/>
              <w:ind w:firstLine="480" w:firstLineChars="200"/>
              <w:rPr>
                <w:color w:val="auto"/>
                <w:sz w:val="24"/>
              </w:rPr>
            </w:pPr>
            <w:r>
              <w:rPr>
                <w:color w:val="auto"/>
                <w:sz w:val="24"/>
              </w:rPr>
              <w:t>六项监测指标日达标率在82.2%~100.0%之间，其中臭氧日达标率最低。可吸入颗粒物、细颗粒物、臭氧日达标率分别较上年下降了0.3、1.9和3.3个百分点，二氧化硫、一氧化碳日达标率持平，均为100.0%，二氧化氮日达标率上升了0.3个百分点。各项年评价指标中，除一氧化碳24小时平均第95百分位浓度和臭氧日最大8小时滑动平均值第90百分位浓度与上年持平外，其他指标均有下降。城区环境空气质量综合指数为3.72，与上年相比下降了0.30，环境空气质量有所提升。臭氧的单项质量指数分担率最高，是主要污染物，与上年相比，二氧化氮单项质量指数降幅最大。城区三个省控站点中，兴福站的环境空气质量综合指数最低，为3.62。</w:t>
            </w:r>
          </w:p>
          <w:p>
            <w:pPr>
              <w:spacing w:line="360" w:lineRule="auto"/>
              <w:ind w:firstLine="480" w:firstLineChars="200"/>
              <w:rPr>
                <w:rFonts w:ascii="宋体" w:hAnsi="宋体" w:cs="宋体"/>
                <w:color w:val="auto"/>
                <w:sz w:val="24"/>
              </w:rPr>
            </w:pPr>
            <w:r>
              <w:rPr>
                <w:rFonts w:ascii="宋体" w:hAnsi="宋体" w:cs="宋体"/>
                <w:color w:val="auto"/>
                <w:sz w:val="24"/>
              </w:rPr>
              <w:t>因此，项目所在评价区为不达标区。</w:t>
            </w:r>
          </w:p>
          <w:p>
            <w:pPr>
              <w:widowControl/>
              <w:spacing w:line="360" w:lineRule="auto"/>
              <w:ind w:firstLine="480" w:firstLineChars="200"/>
              <w:jc w:val="left"/>
              <w:rPr>
                <w:color w:val="auto"/>
              </w:rPr>
            </w:pPr>
            <w:r>
              <w:rPr>
                <w:color w:val="auto"/>
                <w:sz w:val="24"/>
              </w:rPr>
              <w:t>为了进一步改善环境质量，根据《苏州市空气质量改善达标规划（2019-2024）》，2024年环境空气质量实现全面达标为远期目标，通过采取如下措施：1）调整能源结构，控制煤炭消费总量（控制煤炭消费总量和强度、深入推进燃煤锅炉整治、提升清洁能源占比、强化高污染染料使用监管）；2）调整产业结构，减少污染物排放（严格准入条件、加大产业布局调整力度、加大淘汰力度）；3）推进工业领域全行业、全要素达标排放（进一步控制SO</w:t>
            </w:r>
            <w:r>
              <w:rPr>
                <w:color w:val="auto"/>
                <w:sz w:val="24"/>
                <w:vertAlign w:val="subscript"/>
              </w:rPr>
              <w:t>2</w:t>
            </w:r>
            <w:r>
              <w:rPr>
                <w:color w:val="auto"/>
                <w:sz w:val="24"/>
              </w:rPr>
              <w:t>、NOx和烟粉尘排放，强化VOCs污染专项治理）；4）加强交通行业大气污染防治（深化机动车污染防治、开展船舶和港口大气污染防治、优化调整货物运输结构、加强油品供应和质量保障、加强非道路移动机械污染防治）；5）严格控制扬尘污染（强化施工扬尘管控、加强道路扬尘控制，推进堆场、码头扬尘控制，强化裸地治理、实施降尘考核）；6）加强服务业和生活污染防治（全面开展汽修行业VOCs治理，推进建筑装饰、道路施工VOCs综合治理，加强餐饮油烟排放控制）；7）推进农业污染防治（加强秸秆综合利用、控制农业源氨排放）；8）加强重污染天气应对等，提升大气污染精细化防控能力。届时，常熟市大气环境质量状况可以得到持续改善</w:t>
            </w:r>
            <w:r>
              <w:rPr>
                <w:rFonts w:hint="eastAsia"/>
                <w:color w:val="auto"/>
                <w:sz w:val="24"/>
              </w:rPr>
              <w:t>。</w:t>
            </w:r>
          </w:p>
          <w:p>
            <w:pPr>
              <w:pStyle w:val="2"/>
              <w:ind w:firstLine="480" w:firstLineChars="200"/>
              <w:rPr>
                <w:rFonts w:ascii="Times New Roman" w:hAnsi="Times New Roman"/>
                <w:bCs w:val="0"/>
                <w:color w:val="auto"/>
                <w:sz w:val="24"/>
                <w:szCs w:val="24"/>
              </w:rPr>
            </w:pPr>
            <w:r>
              <w:rPr>
                <w:rFonts w:hint="eastAsia" w:ascii="Times New Roman" w:hAnsi="Times New Roman"/>
                <w:bCs w:val="0"/>
                <w:color w:val="auto"/>
                <w:sz w:val="24"/>
                <w:szCs w:val="24"/>
              </w:rPr>
              <w:t>本项目环境空气质量现状数据引用《苏州南一智能科技有限公司新建工业自动控制系统装置制造及模具生产项目》委托南京白云环境科技集团股份有限公司于2021年6月5日~6月7日在苏峰小区东南侧（位于本项目西北侧1.8km）中的监测数据，详见下表。</w:t>
            </w:r>
          </w:p>
          <w:p>
            <w:pPr>
              <w:jc w:val="center"/>
              <w:rPr>
                <w:b/>
                <w:bCs/>
                <w:color w:val="auto"/>
              </w:rPr>
            </w:pPr>
            <w:r>
              <w:rPr>
                <w:rFonts w:hint="eastAsia"/>
                <w:b/>
                <w:bCs/>
                <w:color w:val="auto"/>
              </w:rPr>
              <w:t>表3-1区域空气质量现状评价表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770"/>
              <w:gridCol w:w="837"/>
              <w:gridCol w:w="1163"/>
              <w:gridCol w:w="1563"/>
              <w:gridCol w:w="1264"/>
              <w:gridCol w:w="841"/>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监测点位</w:t>
                  </w:r>
                </w:p>
              </w:tc>
              <w:tc>
                <w:tcPr>
                  <w:tcW w:w="770"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污染物</w:t>
                  </w:r>
                </w:p>
              </w:tc>
              <w:tc>
                <w:tcPr>
                  <w:tcW w:w="837"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评价指标</w:t>
                  </w:r>
                </w:p>
              </w:tc>
              <w:tc>
                <w:tcPr>
                  <w:tcW w:w="1163"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评价标准（mg/m</w:t>
                  </w:r>
                  <w:r>
                    <w:rPr>
                      <w:rFonts w:ascii="Times New Roman" w:hAnsi="Times New Roman"/>
                      <w:b/>
                      <w:bCs w:val="0"/>
                      <w:color w:val="auto"/>
                      <w:sz w:val="21"/>
                      <w:szCs w:val="21"/>
                      <w:vertAlign w:val="superscript"/>
                    </w:rPr>
                    <w:t>3</w:t>
                  </w:r>
                  <w:r>
                    <w:rPr>
                      <w:rFonts w:ascii="Times New Roman" w:hAnsi="Times New Roman"/>
                      <w:b/>
                      <w:bCs w:val="0"/>
                      <w:color w:val="auto"/>
                      <w:sz w:val="21"/>
                      <w:szCs w:val="21"/>
                    </w:rPr>
                    <w:t>）</w:t>
                  </w:r>
                </w:p>
              </w:tc>
              <w:tc>
                <w:tcPr>
                  <w:tcW w:w="1563"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监测浓度范围（mg/m</w:t>
                  </w:r>
                  <w:r>
                    <w:rPr>
                      <w:rFonts w:ascii="Times New Roman" w:hAnsi="Times New Roman"/>
                      <w:b/>
                      <w:bCs w:val="0"/>
                      <w:color w:val="auto"/>
                      <w:sz w:val="21"/>
                      <w:szCs w:val="21"/>
                      <w:vertAlign w:val="superscript"/>
                    </w:rPr>
                    <w:t>3</w:t>
                  </w:r>
                  <w:r>
                    <w:rPr>
                      <w:rFonts w:ascii="Times New Roman" w:hAnsi="Times New Roman"/>
                      <w:b/>
                      <w:bCs w:val="0"/>
                      <w:color w:val="auto"/>
                      <w:sz w:val="21"/>
                      <w:szCs w:val="21"/>
                    </w:rPr>
                    <w:t>）</w:t>
                  </w:r>
                </w:p>
              </w:tc>
              <w:tc>
                <w:tcPr>
                  <w:tcW w:w="1264"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最大浓度占标</w:t>
                  </w:r>
                  <w:r>
                    <w:rPr>
                      <w:rFonts w:hint="eastAsia" w:ascii="Times New Roman" w:hAnsi="Times New Roman"/>
                      <w:b/>
                      <w:bCs w:val="0"/>
                      <w:color w:val="auto"/>
                      <w:sz w:val="21"/>
                      <w:szCs w:val="21"/>
                    </w:rPr>
                    <w:t>率</w:t>
                  </w:r>
                  <w:r>
                    <w:rPr>
                      <w:rFonts w:ascii="Times New Roman" w:hAnsi="Times New Roman"/>
                      <w:b/>
                      <w:bCs w:val="0"/>
                      <w:color w:val="auto"/>
                      <w:sz w:val="21"/>
                      <w:szCs w:val="21"/>
                    </w:rPr>
                    <w:t>（%）</w:t>
                  </w:r>
                </w:p>
              </w:tc>
              <w:tc>
                <w:tcPr>
                  <w:tcW w:w="841"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超标率（%）</w:t>
                  </w:r>
                </w:p>
              </w:tc>
              <w:tc>
                <w:tcPr>
                  <w:tcW w:w="783" w:type="dxa"/>
                  <w:vAlign w:val="center"/>
                </w:tcPr>
                <w:p>
                  <w:pPr>
                    <w:pStyle w:val="2"/>
                    <w:jc w:val="center"/>
                    <w:outlineLvl w:val="2"/>
                    <w:rPr>
                      <w:rFonts w:ascii="Times New Roman" w:hAnsi="Times New Roman"/>
                      <w:b/>
                      <w:bCs w:val="0"/>
                      <w:color w:val="auto"/>
                      <w:sz w:val="21"/>
                      <w:szCs w:val="21"/>
                    </w:rPr>
                  </w:pPr>
                  <w:r>
                    <w:rPr>
                      <w:rFonts w:ascii="Times New Roman" w:hAnsi="Times New Roman"/>
                      <w:b/>
                      <w:bCs w:val="0"/>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苏峰小区东南侧</w:t>
                  </w:r>
                </w:p>
              </w:tc>
              <w:tc>
                <w:tcPr>
                  <w:tcW w:w="770"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非甲烷总烃</w:t>
                  </w:r>
                </w:p>
              </w:tc>
              <w:tc>
                <w:tcPr>
                  <w:tcW w:w="837"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小时平均</w:t>
                  </w:r>
                </w:p>
              </w:tc>
              <w:tc>
                <w:tcPr>
                  <w:tcW w:w="1163"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0.22-0.32</w:t>
                  </w:r>
                </w:p>
              </w:tc>
              <w:tc>
                <w:tcPr>
                  <w:tcW w:w="1563"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2</w:t>
                  </w:r>
                </w:p>
              </w:tc>
              <w:tc>
                <w:tcPr>
                  <w:tcW w:w="1264"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16%</w:t>
                  </w:r>
                </w:p>
              </w:tc>
              <w:tc>
                <w:tcPr>
                  <w:tcW w:w="841"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0</w:t>
                  </w:r>
                </w:p>
              </w:tc>
              <w:tc>
                <w:tcPr>
                  <w:tcW w:w="783" w:type="dxa"/>
                  <w:vAlign w:val="center"/>
                </w:tcPr>
                <w:p>
                  <w:pPr>
                    <w:pStyle w:val="2"/>
                    <w:jc w:val="center"/>
                    <w:outlineLvl w:val="2"/>
                    <w:rPr>
                      <w:rFonts w:ascii="Times New Roman" w:hAnsi="Times New Roman"/>
                      <w:color w:val="auto"/>
                      <w:sz w:val="21"/>
                      <w:szCs w:val="21"/>
                    </w:rPr>
                  </w:pPr>
                  <w:r>
                    <w:rPr>
                      <w:rFonts w:ascii="Times New Roman" w:hAnsi="Times New Roman"/>
                      <w:color w:val="auto"/>
                      <w:sz w:val="21"/>
                      <w:szCs w:val="21"/>
                    </w:rPr>
                    <w:t>达标</w:t>
                  </w:r>
                </w:p>
              </w:tc>
            </w:tr>
          </w:tbl>
          <w:p>
            <w:pPr>
              <w:pStyle w:val="2"/>
              <w:ind w:firstLine="480" w:firstLineChars="200"/>
              <w:rPr>
                <w:rFonts w:ascii="Times New Roman" w:hAnsi="Times New Roman"/>
                <w:bCs w:val="0"/>
                <w:color w:val="auto"/>
                <w:sz w:val="24"/>
                <w:szCs w:val="24"/>
              </w:rPr>
            </w:pPr>
            <w:r>
              <w:rPr>
                <w:rFonts w:hint="eastAsia" w:ascii="Times New Roman" w:hAnsi="Times New Roman"/>
                <w:bCs w:val="0"/>
                <w:color w:val="auto"/>
                <w:sz w:val="24"/>
                <w:szCs w:val="24"/>
              </w:rPr>
              <w:t>根据监测数据结果表明，评价区大气污染物指标非甲烷总烃符合相应评价标准要求。</w:t>
            </w:r>
          </w:p>
          <w:p>
            <w:pPr>
              <w:widowControl/>
              <w:spacing w:line="360" w:lineRule="auto"/>
              <w:rPr>
                <w:b/>
                <w:bCs/>
                <w:color w:val="auto"/>
                <w:kern w:val="0"/>
                <w:sz w:val="24"/>
              </w:rPr>
            </w:pPr>
            <w:r>
              <w:rPr>
                <w:b/>
                <w:bCs/>
                <w:color w:val="auto"/>
                <w:kern w:val="0"/>
                <w:sz w:val="24"/>
              </w:rPr>
              <w:t>2、地表水环境质量现状</w:t>
            </w:r>
          </w:p>
          <w:p>
            <w:pPr>
              <w:autoSpaceDE w:val="0"/>
              <w:autoSpaceDN w:val="0"/>
              <w:adjustRightInd w:val="0"/>
              <w:snapToGrid w:val="0"/>
              <w:spacing w:line="360" w:lineRule="auto"/>
              <w:ind w:firstLine="480" w:firstLineChars="200"/>
              <w:rPr>
                <w:color w:val="auto"/>
                <w:sz w:val="24"/>
              </w:rPr>
            </w:pPr>
            <w:r>
              <w:rPr>
                <w:color w:val="auto"/>
                <w:sz w:val="24"/>
              </w:rPr>
              <w:t>根据《2022年度常熟市生态环境状况公报》，常熟市地表水水质级别为良好，达到或优于Ⅲ类水质断面比例为82.0%，与上年相比上升了4.0个百分点；无劣Ⅴ类水质断面，与上年持平，主要污染指标为总磷、氨氮和五日生化需氧量。地表水平均综合污染指数为0.34，与上年相比下降了0.06，降幅为15.0%。全市地表水环境质量虽总体无明显变化，但略有好转。根据《2022年度常熟市生态环境状况公报》，常熟市地表水水质级别为良好，达到或优于Ⅲ类水质断面比例为82.0%，与上年相比上升了4.0个百分点；无劣Ⅴ类水质断面，与上年持平，主要污染指标为总磷、氨氮和五日生化需氧量。地表水平均综合污染指数为0.34，与上年相比下降了0.06，降幅为15.0%。全市地表水环境质量虽总体无明显变化，但略有好转。</w:t>
            </w:r>
          </w:p>
          <w:p>
            <w:pPr>
              <w:widowControl/>
              <w:spacing w:line="360" w:lineRule="auto"/>
              <w:ind w:firstLine="480" w:firstLineChars="200"/>
              <w:jc w:val="left"/>
              <w:rPr>
                <w:color w:val="auto"/>
                <w:sz w:val="24"/>
              </w:rPr>
            </w:pPr>
            <w:r>
              <w:rPr>
                <w:color w:val="auto"/>
                <w:sz w:val="24"/>
              </w:rPr>
              <w:t>本项目纳污水体</w:t>
            </w:r>
            <w:r>
              <w:rPr>
                <w:rFonts w:hint="eastAsia"/>
                <w:color w:val="auto"/>
                <w:sz w:val="24"/>
              </w:rPr>
              <w:t>白茆塘满足</w:t>
            </w:r>
            <w:r>
              <w:rPr>
                <w:color w:val="auto"/>
                <w:sz w:val="24"/>
              </w:rPr>
              <w:t>《地表水环境质量标准》（GB3838-2002</w:t>
            </w:r>
            <w:r>
              <w:rPr>
                <w:rFonts w:hint="eastAsia"/>
                <w:color w:val="auto"/>
                <w:sz w:val="24"/>
              </w:rPr>
              <w:t>）</w:t>
            </w:r>
            <w:r>
              <w:rPr>
                <w:color w:val="auto"/>
                <w:sz w:val="24"/>
              </w:rPr>
              <w:t>Ⅳ类标准。</w:t>
            </w:r>
          </w:p>
          <w:p>
            <w:pPr>
              <w:spacing w:line="360" w:lineRule="auto"/>
              <w:rPr>
                <w:b/>
                <w:bCs/>
                <w:color w:val="auto"/>
                <w:sz w:val="24"/>
                <w:szCs w:val="32"/>
              </w:rPr>
            </w:pPr>
            <w:r>
              <w:rPr>
                <w:b/>
                <w:bCs/>
                <w:color w:val="auto"/>
                <w:sz w:val="24"/>
                <w:szCs w:val="32"/>
              </w:rPr>
              <w:t>3、声环境质量状况</w:t>
            </w:r>
          </w:p>
          <w:p>
            <w:pPr>
              <w:widowControl/>
              <w:spacing w:line="360" w:lineRule="auto"/>
              <w:ind w:firstLine="480" w:firstLineChars="200"/>
              <w:jc w:val="left"/>
              <w:rPr>
                <w:color w:val="auto"/>
                <w:sz w:val="24"/>
              </w:rPr>
            </w:pPr>
            <w:r>
              <w:rPr>
                <w:color w:val="auto"/>
                <w:sz w:val="24"/>
              </w:rPr>
              <w:t>根据《2022年度常熟市生态环境状况公报》，2022年常熟市道路交通噪声昼间等效声级均值为68.0分贝(A)，昼间道路交通噪声质量等级属于一级（好）。昼间等效声级均值与上年相比上升了0.6分贝(A)，道路交通噪声污染程度稳定。市区58个测点达标率为79.3%，与上年相比下降了5.8个百分点。</w:t>
            </w:r>
          </w:p>
          <w:p>
            <w:pPr>
              <w:widowControl/>
              <w:spacing w:line="360" w:lineRule="auto"/>
              <w:ind w:firstLine="480" w:firstLineChars="200"/>
              <w:rPr>
                <w:color w:val="auto"/>
                <w:sz w:val="24"/>
              </w:rPr>
            </w:pPr>
            <w:r>
              <w:rPr>
                <w:color w:val="auto"/>
                <w:sz w:val="24"/>
              </w:rPr>
              <w:t>2022年常熟市城区区域环境噪声昼间等效声级均值为52.6分贝(A)，城区昼间区域环境噪声质量等级属于二级（较好），与上年相比上升了2.7分贝(A)，污染程度加重。从声源结构看，城区区域噪声来源以生活噪声为主。从声源强度看，交通噪声声源强度最高，工业噪声其次，生活噪声最低。2022年常熟市城区四类功能区噪声年均值均达到对应环境噪声等效声级限值，其中Ⅰ类区域（居民文教区）污染程度减轻，Ⅲ类区域（工业区）污染程度加重，Ⅱ类区域（居住、工商混合区）和Ⅳ类区域（交通干线两侧区）污染程度相对稳定。昼间噪声达标率为100%，与上年持平；夜间噪声Ⅰ类区域（甸桥村村委会点位）和Ⅱ类区域（漕泾五区四幢点位）存在超标现象，达标率为95.0%，与上年相比下降了1.9个百分点。</w:t>
            </w:r>
          </w:p>
          <w:p>
            <w:pPr>
              <w:adjustRightInd w:val="0"/>
              <w:snapToGrid w:val="0"/>
              <w:spacing w:line="360" w:lineRule="auto"/>
              <w:rPr>
                <w:b/>
                <w:bCs/>
                <w:color w:val="auto"/>
                <w:sz w:val="24"/>
                <w:szCs w:val="32"/>
              </w:rPr>
            </w:pPr>
            <w:r>
              <w:rPr>
                <w:b/>
                <w:bCs/>
                <w:color w:val="auto"/>
                <w:sz w:val="24"/>
                <w:szCs w:val="32"/>
              </w:rPr>
              <w:t>4、生态环境质量状况</w:t>
            </w:r>
          </w:p>
          <w:p>
            <w:pPr>
              <w:adjustRightInd w:val="0"/>
              <w:snapToGrid w:val="0"/>
              <w:spacing w:line="360" w:lineRule="auto"/>
              <w:ind w:firstLine="480" w:firstLineChars="200"/>
              <w:rPr>
                <w:color w:val="auto"/>
                <w:sz w:val="24"/>
                <w:szCs w:val="32"/>
              </w:rPr>
            </w:pPr>
            <w:r>
              <w:rPr>
                <w:color w:val="auto"/>
                <w:sz w:val="24"/>
                <w:szCs w:val="32"/>
              </w:rPr>
              <w:t>本项目位于</w:t>
            </w:r>
            <w:r>
              <w:rPr>
                <w:rFonts w:hint="eastAsia"/>
                <w:color w:val="auto"/>
                <w:sz w:val="24"/>
                <w:szCs w:val="32"/>
              </w:rPr>
              <w:t>厂区现有空地建设</w:t>
            </w:r>
            <w:r>
              <w:rPr>
                <w:color w:val="auto"/>
                <w:sz w:val="24"/>
                <w:szCs w:val="32"/>
              </w:rPr>
              <w:t>，用地范围内无生态环境保护目标，不进行生态环境现状调查。</w:t>
            </w:r>
          </w:p>
          <w:p>
            <w:pPr>
              <w:spacing w:line="360" w:lineRule="auto"/>
              <w:rPr>
                <w:b/>
                <w:bCs/>
                <w:color w:val="auto"/>
                <w:sz w:val="24"/>
                <w:szCs w:val="32"/>
              </w:rPr>
            </w:pPr>
            <w:r>
              <w:rPr>
                <w:b/>
                <w:bCs/>
                <w:color w:val="auto"/>
                <w:sz w:val="24"/>
                <w:szCs w:val="32"/>
              </w:rPr>
              <w:t>5、地下水环境质量状况</w:t>
            </w:r>
          </w:p>
          <w:p>
            <w:pPr>
              <w:pStyle w:val="2"/>
              <w:ind w:firstLine="480" w:firstLineChars="200"/>
              <w:rPr>
                <w:rFonts w:ascii="Times New Roman" w:hAnsi="Times New Roman"/>
                <w:bCs w:val="0"/>
                <w:color w:val="auto"/>
                <w:sz w:val="24"/>
                <w:szCs w:val="32"/>
              </w:rPr>
            </w:pPr>
            <w:r>
              <w:rPr>
                <w:rFonts w:ascii="Times New Roman" w:hAnsi="Times New Roman"/>
                <w:bCs w:val="0"/>
                <w:color w:val="auto"/>
                <w:sz w:val="24"/>
                <w:szCs w:val="32"/>
              </w:rPr>
              <w:t>根据《建设项目环境影响报告表编制技术指南》（试行），地下水原则上不开展专项评价，涉及集中式饮用水水源和热水、矿泉水、温泉等特殊地下水资源保护区的开展地下水专项评价工作。本项目不涉及以上特殊地下水资源保护区，故不开展地下水环境</w:t>
            </w:r>
            <w:r>
              <w:rPr>
                <w:rFonts w:hint="eastAsia"/>
                <w:color w:val="auto"/>
                <w:sz w:val="24"/>
                <w:szCs w:val="32"/>
              </w:rPr>
              <w:t>现状调查</w:t>
            </w:r>
            <w:r>
              <w:rPr>
                <w:rFonts w:hint="eastAsia" w:ascii="Times New Roman" w:hAnsi="Times New Roman"/>
                <w:bCs w:val="0"/>
                <w:color w:val="auto"/>
                <w:sz w:val="24"/>
                <w:szCs w:val="32"/>
              </w:rPr>
              <w:t>。</w:t>
            </w:r>
          </w:p>
          <w:p>
            <w:pPr>
              <w:spacing w:line="360" w:lineRule="auto"/>
              <w:rPr>
                <w:b/>
                <w:bCs/>
                <w:color w:val="auto"/>
                <w:sz w:val="24"/>
                <w:szCs w:val="32"/>
              </w:rPr>
            </w:pPr>
            <w:r>
              <w:rPr>
                <w:b/>
                <w:bCs/>
                <w:color w:val="auto"/>
                <w:sz w:val="24"/>
                <w:szCs w:val="32"/>
              </w:rPr>
              <w:t>6、土壤环境质量状况</w:t>
            </w:r>
          </w:p>
          <w:p>
            <w:pPr>
              <w:spacing w:line="360" w:lineRule="auto"/>
              <w:ind w:firstLine="480" w:firstLineChars="200"/>
              <w:rPr>
                <w:color w:val="auto"/>
              </w:rPr>
            </w:pPr>
            <w:r>
              <w:rPr>
                <w:color w:val="auto"/>
                <w:sz w:val="24"/>
                <w:szCs w:val="32"/>
              </w:rPr>
              <w:t>根据《建设项目环境影响报告表编制技术指南》（试行），原则上不开展土壤环境质量现状调查，且本项目土壤环境污染隐患较低，厂内地面均硬化处理，污染途径较少，故不开展土壤</w:t>
            </w:r>
            <w:r>
              <w:rPr>
                <w:rFonts w:hint="eastAsia"/>
                <w:color w:val="auto"/>
                <w:sz w:val="24"/>
                <w:szCs w:val="32"/>
              </w:rPr>
              <w:t>现状调查</w:t>
            </w:r>
            <w:r>
              <w:rPr>
                <w:color w:val="auto"/>
                <w:sz w:val="24"/>
                <w:szCs w:val="32"/>
              </w:rPr>
              <w:t>。</w:t>
            </w:r>
          </w:p>
          <w:p>
            <w:pPr>
              <w:widowControl/>
              <w:spacing w:line="360" w:lineRule="auto"/>
              <w:jc w:val="left"/>
              <w:rPr>
                <w:color w:val="auto"/>
              </w:rPr>
            </w:pPr>
            <w:r>
              <w:rPr>
                <w:b/>
                <w:bCs/>
                <w:color w:val="auto"/>
                <w:kern w:val="0"/>
                <w:sz w:val="24"/>
              </w:rPr>
              <w:t>7</w:t>
            </w:r>
            <w:r>
              <w:rPr>
                <w:rFonts w:hint="eastAsia" w:ascii="宋体" w:hAnsi="宋体" w:cs="宋体"/>
                <w:b/>
                <w:bCs/>
                <w:color w:val="auto"/>
                <w:kern w:val="0"/>
                <w:sz w:val="24"/>
              </w:rPr>
              <w:t>、电磁辐射</w:t>
            </w:r>
          </w:p>
          <w:p>
            <w:pPr>
              <w:widowControl/>
              <w:spacing w:line="360" w:lineRule="auto"/>
              <w:ind w:firstLine="480" w:firstLineChars="200"/>
              <w:jc w:val="left"/>
              <w:rPr>
                <w:color w:val="auto"/>
                <w:kern w:val="0"/>
                <w:szCs w:val="21"/>
              </w:rPr>
            </w:pPr>
            <w:r>
              <w:rPr>
                <w:rFonts w:hint="eastAsia" w:ascii="宋体" w:hAnsi="宋体" w:cs="宋体"/>
                <w:color w:val="auto"/>
                <w:kern w:val="0"/>
                <w:sz w:val="24"/>
              </w:rPr>
              <w:t>本项目不涉及电磁辐射。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282" w:type="pct"/>
            <w:noWrap/>
            <w:vAlign w:val="center"/>
          </w:tcPr>
          <w:p>
            <w:pPr>
              <w:adjustRightInd w:val="0"/>
              <w:snapToGrid w:val="0"/>
              <w:jc w:val="center"/>
              <w:rPr>
                <w:color w:val="auto"/>
                <w:kern w:val="0"/>
                <w:sz w:val="24"/>
              </w:rPr>
            </w:pPr>
            <w:r>
              <w:rPr>
                <w:color w:val="auto"/>
                <w:kern w:val="0"/>
                <w:sz w:val="24"/>
              </w:rPr>
              <w:t>环</w:t>
            </w:r>
          </w:p>
          <w:p>
            <w:pPr>
              <w:adjustRightInd w:val="0"/>
              <w:snapToGrid w:val="0"/>
              <w:jc w:val="center"/>
              <w:rPr>
                <w:color w:val="auto"/>
                <w:kern w:val="0"/>
                <w:sz w:val="24"/>
              </w:rPr>
            </w:pPr>
            <w:r>
              <w:rPr>
                <w:color w:val="auto"/>
                <w:kern w:val="0"/>
                <w:sz w:val="24"/>
              </w:rPr>
              <w:t>境</w:t>
            </w:r>
          </w:p>
          <w:p>
            <w:pPr>
              <w:adjustRightInd w:val="0"/>
              <w:snapToGrid w:val="0"/>
              <w:jc w:val="center"/>
              <w:rPr>
                <w:color w:val="auto"/>
                <w:kern w:val="0"/>
                <w:sz w:val="24"/>
              </w:rPr>
            </w:pPr>
            <w:r>
              <w:rPr>
                <w:color w:val="auto"/>
                <w:kern w:val="0"/>
                <w:sz w:val="24"/>
              </w:rPr>
              <w:t>保</w:t>
            </w:r>
          </w:p>
          <w:p>
            <w:pPr>
              <w:adjustRightInd w:val="0"/>
              <w:snapToGrid w:val="0"/>
              <w:jc w:val="center"/>
              <w:rPr>
                <w:color w:val="auto"/>
                <w:kern w:val="0"/>
                <w:sz w:val="24"/>
              </w:rPr>
            </w:pPr>
            <w:r>
              <w:rPr>
                <w:color w:val="auto"/>
                <w:kern w:val="0"/>
                <w:sz w:val="24"/>
              </w:rPr>
              <w:t>护</w:t>
            </w:r>
          </w:p>
          <w:p>
            <w:pPr>
              <w:adjustRightInd w:val="0"/>
              <w:snapToGrid w:val="0"/>
              <w:jc w:val="center"/>
              <w:rPr>
                <w:color w:val="auto"/>
                <w:kern w:val="0"/>
                <w:sz w:val="24"/>
              </w:rPr>
            </w:pPr>
            <w:r>
              <w:rPr>
                <w:color w:val="auto"/>
                <w:kern w:val="0"/>
                <w:sz w:val="24"/>
              </w:rPr>
              <w:t>目</w:t>
            </w:r>
          </w:p>
          <w:p>
            <w:pPr>
              <w:adjustRightInd w:val="0"/>
              <w:snapToGrid w:val="0"/>
              <w:jc w:val="center"/>
              <w:rPr>
                <w:color w:val="auto"/>
                <w:kern w:val="0"/>
                <w:sz w:val="24"/>
              </w:rPr>
            </w:pPr>
            <w:r>
              <w:rPr>
                <w:color w:val="auto"/>
                <w:kern w:val="0"/>
                <w:sz w:val="24"/>
              </w:rPr>
              <w:t>标</w:t>
            </w:r>
          </w:p>
        </w:tc>
        <w:tc>
          <w:tcPr>
            <w:tcW w:w="4717" w:type="pct"/>
            <w:noWrap/>
          </w:tcPr>
          <w:p>
            <w:pPr>
              <w:widowControl/>
              <w:spacing w:line="360" w:lineRule="auto"/>
              <w:jc w:val="left"/>
              <w:rPr>
                <w:color w:val="auto"/>
                <w:sz w:val="24"/>
              </w:rPr>
            </w:pPr>
            <w:r>
              <w:rPr>
                <w:color w:val="auto"/>
                <w:sz w:val="24"/>
              </w:rPr>
              <w:t>主要环境保护目标：</w:t>
            </w:r>
          </w:p>
          <w:p>
            <w:pPr>
              <w:spacing w:line="360" w:lineRule="auto"/>
              <w:ind w:firstLine="480" w:firstLineChars="200"/>
              <w:rPr>
                <w:color w:val="auto"/>
                <w:sz w:val="24"/>
              </w:rPr>
            </w:pPr>
            <w:r>
              <w:rPr>
                <w:color w:val="auto"/>
                <w:sz w:val="24"/>
              </w:rPr>
              <w:t>①本项目厂界外500米范围内无大气环境保护目标；</w:t>
            </w:r>
          </w:p>
          <w:p>
            <w:pPr>
              <w:spacing w:line="360" w:lineRule="auto"/>
              <w:ind w:firstLine="480" w:firstLineChars="200"/>
              <w:rPr>
                <w:color w:val="auto"/>
                <w:sz w:val="24"/>
              </w:rPr>
            </w:pPr>
            <w:r>
              <w:rPr>
                <w:color w:val="auto"/>
                <w:sz w:val="24"/>
              </w:rPr>
              <w:t>②本项目厂界外50m范围内无声环境保护目标；</w:t>
            </w:r>
          </w:p>
          <w:p>
            <w:pPr>
              <w:spacing w:line="360" w:lineRule="auto"/>
              <w:ind w:firstLine="480" w:firstLineChars="200"/>
              <w:rPr>
                <w:color w:val="auto"/>
                <w:sz w:val="24"/>
              </w:rPr>
            </w:pPr>
            <w:r>
              <w:rPr>
                <w:color w:val="auto"/>
                <w:sz w:val="24"/>
              </w:rPr>
              <w:t>③厂界外500m范围内不涉及地下水集中式饮用水水源和热水、矿泉水、温泉等特殊地下水资源；</w:t>
            </w:r>
          </w:p>
          <w:p>
            <w:pPr>
              <w:pStyle w:val="2"/>
              <w:adjustRightInd/>
              <w:ind w:firstLine="480" w:firstLineChars="200"/>
              <w:rPr>
                <w:rFonts w:ascii="Times New Roman" w:hAnsi="Times New Roman"/>
                <w:color w:val="auto"/>
                <w:sz w:val="24"/>
                <w:szCs w:val="24"/>
              </w:rPr>
            </w:pPr>
            <w:r>
              <w:rPr>
                <w:rFonts w:ascii="Times New Roman" w:hAnsi="Times New Roman"/>
                <w:color w:val="auto"/>
                <w:sz w:val="24"/>
                <w:szCs w:val="24"/>
              </w:rPr>
              <w:t>④本项目无生态环境保护目标。</w:t>
            </w:r>
          </w:p>
          <w:p>
            <w:pPr>
              <w:pStyle w:val="2"/>
              <w:adjustRightInd/>
              <w:spacing w:line="240" w:lineRule="auto"/>
              <w:jc w:val="center"/>
              <w:rPr>
                <w:rFonts w:ascii="Times New Roman" w:hAnsi="Times New Roman"/>
                <w:b/>
                <w:bCs w:val="0"/>
                <w:color w:val="auto"/>
                <w:sz w:val="21"/>
                <w:szCs w:val="21"/>
              </w:rPr>
            </w:pPr>
            <w:r>
              <w:rPr>
                <w:rFonts w:ascii="Times New Roman" w:hAnsi="Times New Roman"/>
                <w:b/>
                <w:bCs w:val="0"/>
                <w:color w:val="auto"/>
                <w:sz w:val="21"/>
                <w:szCs w:val="21"/>
              </w:rPr>
              <w:t>表3-</w:t>
            </w:r>
            <w:r>
              <w:rPr>
                <w:rFonts w:hint="eastAsia" w:ascii="Times New Roman" w:hAnsi="Times New Roman"/>
                <w:b/>
                <w:bCs w:val="0"/>
                <w:color w:val="auto"/>
                <w:sz w:val="21"/>
                <w:szCs w:val="21"/>
              </w:rPr>
              <w:t>2</w:t>
            </w:r>
            <w:r>
              <w:rPr>
                <w:rFonts w:ascii="Times New Roman" w:hAnsi="Times New Roman"/>
                <w:b/>
                <w:bCs w:val="0"/>
                <w:color w:val="auto"/>
                <w:sz w:val="21"/>
                <w:szCs w:val="21"/>
              </w:rPr>
              <w:t>项目周边主要环境保护目标</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13"/>
              <w:gridCol w:w="650"/>
              <w:gridCol w:w="1313"/>
              <w:gridCol w:w="4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20" w:type="dxa"/>
                  <w:noWrap/>
                  <w:vAlign w:val="center"/>
                </w:tcPr>
                <w:p>
                  <w:pPr>
                    <w:spacing w:line="264" w:lineRule="auto"/>
                    <w:jc w:val="center"/>
                    <w:rPr>
                      <w:color w:val="auto"/>
                    </w:rPr>
                  </w:pPr>
                  <w:r>
                    <w:rPr>
                      <w:color w:val="auto"/>
                    </w:rPr>
                    <w:t>环境要素</w:t>
                  </w:r>
                </w:p>
              </w:tc>
              <w:tc>
                <w:tcPr>
                  <w:tcW w:w="1413" w:type="dxa"/>
                  <w:noWrap/>
                  <w:vAlign w:val="center"/>
                </w:tcPr>
                <w:p>
                  <w:pPr>
                    <w:spacing w:line="264" w:lineRule="auto"/>
                    <w:jc w:val="center"/>
                    <w:rPr>
                      <w:color w:val="auto"/>
                    </w:rPr>
                  </w:pPr>
                  <w:r>
                    <w:rPr>
                      <w:color w:val="auto"/>
                    </w:rPr>
                    <w:t>名称</w:t>
                  </w:r>
                </w:p>
              </w:tc>
              <w:tc>
                <w:tcPr>
                  <w:tcW w:w="650" w:type="dxa"/>
                  <w:noWrap/>
                  <w:vAlign w:val="center"/>
                </w:tcPr>
                <w:p>
                  <w:pPr>
                    <w:spacing w:line="264" w:lineRule="auto"/>
                    <w:jc w:val="center"/>
                    <w:rPr>
                      <w:color w:val="auto"/>
                    </w:rPr>
                  </w:pPr>
                  <w:r>
                    <w:rPr>
                      <w:color w:val="auto"/>
                    </w:rPr>
                    <w:t>方位</w:t>
                  </w:r>
                </w:p>
              </w:tc>
              <w:tc>
                <w:tcPr>
                  <w:tcW w:w="1313" w:type="dxa"/>
                  <w:noWrap/>
                  <w:vAlign w:val="center"/>
                </w:tcPr>
                <w:p>
                  <w:pPr>
                    <w:spacing w:line="264" w:lineRule="auto"/>
                    <w:jc w:val="center"/>
                    <w:rPr>
                      <w:color w:val="auto"/>
                    </w:rPr>
                  </w:pPr>
                  <w:r>
                    <w:rPr>
                      <w:color w:val="auto"/>
                    </w:rPr>
                    <w:t>相对厂界距离（m）</w:t>
                  </w:r>
                </w:p>
              </w:tc>
              <w:tc>
                <w:tcPr>
                  <w:tcW w:w="4232" w:type="dxa"/>
                  <w:noWrap/>
                  <w:vAlign w:val="center"/>
                </w:tcPr>
                <w:p>
                  <w:pPr>
                    <w:spacing w:line="264" w:lineRule="auto"/>
                    <w:jc w:val="center"/>
                    <w:rPr>
                      <w:color w:val="auto"/>
                    </w:rPr>
                  </w:pPr>
                  <w:r>
                    <w:rPr>
                      <w:color w:val="auto"/>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720" w:type="dxa"/>
                  <w:noWrap/>
                  <w:vAlign w:val="center"/>
                </w:tcPr>
                <w:p>
                  <w:pPr>
                    <w:spacing w:line="264" w:lineRule="auto"/>
                    <w:jc w:val="center"/>
                    <w:rPr>
                      <w:color w:val="auto"/>
                      <w:szCs w:val="21"/>
                    </w:rPr>
                  </w:pPr>
                  <w:r>
                    <w:rPr>
                      <w:color w:val="auto"/>
                    </w:rPr>
                    <w:t>地表水</w:t>
                  </w:r>
                </w:p>
              </w:tc>
              <w:tc>
                <w:tcPr>
                  <w:tcW w:w="1413" w:type="dxa"/>
                  <w:noWrap/>
                  <w:vAlign w:val="center"/>
                </w:tcPr>
                <w:p>
                  <w:pPr>
                    <w:spacing w:line="264" w:lineRule="auto"/>
                    <w:jc w:val="center"/>
                    <w:rPr>
                      <w:color w:val="auto"/>
                    </w:rPr>
                  </w:pPr>
                  <w:r>
                    <w:rPr>
                      <w:rFonts w:hint="eastAsia"/>
                      <w:color w:val="auto"/>
                      <w:szCs w:val="21"/>
                    </w:rPr>
                    <w:t>白茆塘</w:t>
                  </w:r>
                </w:p>
              </w:tc>
              <w:tc>
                <w:tcPr>
                  <w:tcW w:w="650" w:type="dxa"/>
                  <w:noWrap/>
                  <w:vAlign w:val="center"/>
                </w:tcPr>
                <w:p>
                  <w:pPr>
                    <w:spacing w:line="264" w:lineRule="auto"/>
                    <w:jc w:val="center"/>
                    <w:rPr>
                      <w:color w:val="auto"/>
                    </w:rPr>
                  </w:pPr>
                  <w:r>
                    <w:rPr>
                      <w:rFonts w:hint="eastAsia"/>
                      <w:color w:val="auto"/>
                    </w:rPr>
                    <w:t>北</w:t>
                  </w:r>
                </w:p>
              </w:tc>
              <w:tc>
                <w:tcPr>
                  <w:tcW w:w="1313" w:type="dxa"/>
                  <w:noWrap/>
                  <w:vAlign w:val="center"/>
                </w:tcPr>
                <w:p>
                  <w:pPr>
                    <w:spacing w:line="264" w:lineRule="auto"/>
                    <w:jc w:val="center"/>
                    <w:rPr>
                      <w:color w:val="auto"/>
                    </w:rPr>
                  </w:pPr>
                  <w:r>
                    <w:rPr>
                      <w:rFonts w:hint="eastAsia"/>
                      <w:color w:val="auto"/>
                    </w:rPr>
                    <w:t>23</w:t>
                  </w:r>
                  <w:r>
                    <w:rPr>
                      <w:color w:val="auto"/>
                    </w:rPr>
                    <w:t>00</w:t>
                  </w:r>
                </w:p>
              </w:tc>
              <w:tc>
                <w:tcPr>
                  <w:tcW w:w="4232" w:type="dxa"/>
                  <w:noWrap/>
                  <w:vAlign w:val="center"/>
                </w:tcPr>
                <w:p>
                  <w:pPr>
                    <w:spacing w:line="264" w:lineRule="auto"/>
                    <w:jc w:val="center"/>
                    <w:rPr>
                      <w:color w:val="auto"/>
                    </w:rPr>
                  </w:pPr>
                  <w:r>
                    <w:rPr>
                      <w:color w:val="auto"/>
                      <w:kern w:val="0"/>
                      <w:szCs w:val="21"/>
                    </w:rPr>
                    <w:t>《地表水环境质量标准》（GB3838-2002）IV类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720" w:type="dxa"/>
                  <w:noWrap/>
                  <w:vAlign w:val="center"/>
                </w:tcPr>
                <w:p>
                  <w:pPr>
                    <w:spacing w:line="264" w:lineRule="auto"/>
                    <w:jc w:val="center"/>
                    <w:rPr>
                      <w:color w:val="auto"/>
                    </w:rPr>
                  </w:pPr>
                  <w:r>
                    <w:rPr>
                      <w:rFonts w:hint="eastAsia"/>
                      <w:color w:val="auto"/>
                    </w:rPr>
                    <w:t>声环境</w:t>
                  </w:r>
                </w:p>
              </w:tc>
              <w:tc>
                <w:tcPr>
                  <w:tcW w:w="1413" w:type="dxa"/>
                  <w:noWrap/>
                  <w:vAlign w:val="center"/>
                </w:tcPr>
                <w:p>
                  <w:pPr>
                    <w:spacing w:line="264" w:lineRule="auto"/>
                    <w:jc w:val="center"/>
                    <w:rPr>
                      <w:color w:val="auto"/>
                      <w:szCs w:val="21"/>
                    </w:rPr>
                  </w:pPr>
                  <w:r>
                    <w:rPr>
                      <w:rFonts w:hint="eastAsia"/>
                      <w:color w:val="auto"/>
                      <w:szCs w:val="21"/>
                    </w:rPr>
                    <w:t>厂界</w:t>
                  </w:r>
                </w:p>
              </w:tc>
              <w:tc>
                <w:tcPr>
                  <w:tcW w:w="650" w:type="dxa"/>
                  <w:noWrap/>
                  <w:vAlign w:val="center"/>
                </w:tcPr>
                <w:p>
                  <w:pPr>
                    <w:spacing w:line="264" w:lineRule="auto"/>
                    <w:jc w:val="center"/>
                    <w:rPr>
                      <w:color w:val="auto"/>
                    </w:rPr>
                  </w:pPr>
                  <w:r>
                    <w:rPr>
                      <w:rFonts w:hint="eastAsia"/>
                      <w:color w:val="auto"/>
                    </w:rPr>
                    <w:t>四周</w:t>
                  </w:r>
                </w:p>
              </w:tc>
              <w:tc>
                <w:tcPr>
                  <w:tcW w:w="1313" w:type="dxa"/>
                  <w:noWrap/>
                  <w:vAlign w:val="center"/>
                </w:tcPr>
                <w:p>
                  <w:pPr>
                    <w:spacing w:line="264" w:lineRule="auto"/>
                    <w:jc w:val="center"/>
                    <w:rPr>
                      <w:color w:val="auto"/>
                    </w:rPr>
                  </w:pPr>
                  <w:r>
                    <w:rPr>
                      <w:rFonts w:hint="eastAsia"/>
                      <w:color w:val="auto"/>
                    </w:rPr>
                    <w:t>1</w:t>
                  </w:r>
                </w:p>
              </w:tc>
              <w:tc>
                <w:tcPr>
                  <w:tcW w:w="4232" w:type="dxa"/>
                  <w:noWrap/>
                  <w:vAlign w:val="center"/>
                </w:tcPr>
                <w:p>
                  <w:pPr>
                    <w:spacing w:line="264" w:lineRule="auto"/>
                    <w:jc w:val="center"/>
                    <w:rPr>
                      <w:color w:val="auto"/>
                      <w:kern w:val="0"/>
                      <w:szCs w:val="21"/>
                    </w:rPr>
                  </w:pPr>
                  <w:r>
                    <w:rPr>
                      <w:color w:val="auto"/>
                      <w:kern w:val="0"/>
                      <w:szCs w:val="21"/>
                    </w:rPr>
                    <w:t>《声环境质量标准》（GB3096-2008）3类标准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exact"/>
                <w:jc w:val="center"/>
              </w:trPr>
              <w:tc>
                <w:tcPr>
                  <w:tcW w:w="720" w:type="dxa"/>
                  <w:noWrap/>
                  <w:vAlign w:val="center"/>
                </w:tcPr>
                <w:p>
                  <w:pPr>
                    <w:spacing w:line="264" w:lineRule="auto"/>
                    <w:jc w:val="center"/>
                    <w:rPr>
                      <w:color w:val="auto"/>
                    </w:rPr>
                  </w:pPr>
                  <w:r>
                    <w:rPr>
                      <w:rFonts w:hint="eastAsia"/>
                      <w:color w:val="auto"/>
                    </w:rPr>
                    <w:t>生态环境</w:t>
                  </w:r>
                </w:p>
              </w:tc>
              <w:tc>
                <w:tcPr>
                  <w:tcW w:w="1413" w:type="dxa"/>
                  <w:noWrap/>
                  <w:vAlign w:val="center"/>
                </w:tcPr>
                <w:p>
                  <w:pPr>
                    <w:spacing w:line="264" w:lineRule="auto"/>
                    <w:jc w:val="center"/>
                    <w:rPr>
                      <w:color w:val="auto"/>
                      <w:szCs w:val="21"/>
                    </w:rPr>
                  </w:pPr>
                  <w:r>
                    <w:rPr>
                      <w:color w:val="auto"/>
                      <w:szCs w:val="21"/>
                    </w:rPr>
                    <w:t>沙家浜-昆承湖重要湿地</w:t>
                  </w:r>
                </w:p>
              </w:tc>
              <w:tc>
                <w:tcPr>
                  <w:tcW w:w="650" w:type="dxa"/>
                  <w:noWrap/>
                  <w:vAlign w:val="center"/>
                </w:tcPr>
                <w:p>
                  <w:pPr>
                    <w:spacing w:line="264" w:lineRule="auto"/>
                    <w:jc w:val="center"/>
                    <w:rPr>
                      <w:color w:val="auto"/>
                    </w:rPr>
                  </w:pPr>
                  <w:r>
                    <w:rPr>
                      <w:rFonts w:hint="eastAsia"/>
                      <w:color w:val="auto"/>
                    </w:rPr>
                    <w:t>西</w:t>
                  </w:r>
                </w:p>
              </w:tc>
              <w:tc>
                <w:tcPr>
                  <w:tcW w:w="1313" w:type="dxa"/>
                  <w:noWrap/>
                  <w:vAlign w:val="center"/>
                </w:tcPr>
                <w:p>
                  <w:pPr>
                    <w:spacing w:line="264" w:lineRule="auto"/>
                    <w:jc w:val="center"/>
                    <w:rPr>
                      <w:color w:val="auto"/>
                    </w:rPr>
                  </w:pPr>
                  <w:r>
                    <w:rPr>
                      <w:rFonts w:hint="eastAsia"/>
                      <w:color w:val="auto"/>
                    </w:rPr>
                    <w:t>5100</w:t>
                  </w:r>
                </w:p>
              </w:tc>
              <w:tc>
                <w:tcPr>
                  <w:tcW w:w="4232" w:type="dxa"/>
                  <w:noWrap/>
                  <w:vAlign w:val="center"/>
                </w:tcPr>
                <w:p>
                  <w:pPr>
                    <w:spacing w:line="264" w:lineRule="auto"/>
                    <w:jc w:val="center"/>
                    <w:rPr>
                      <w:color w:val="auto"/>
                      <w:kern w:val="0"/>
                      <w:szCs w:val="21"/>
                    </w:rPr>
                  </w:pPr>
                  <w:r>
                    <w:rPr>
                      <w:color w:val="auto"/>
                      <w:szCs w:val="21"/>
                    </w:rPr>
                    <w:t>《省政府关于印发江苏省生态空间管控区域规划的通知》（江苏省人民政府，苏政发[2020]1号）</w:t>
                  </w:r>
                </w:p>
              </w:tc>
            </w:tr>
          </w:tbl>
          <w:p>
            <w:pPr>
              <w:spacing w:line="360" w:lineRule="auto"/>
              <w:rPr>
                <w:color w:val="auto"/>
                <w:sz w:val="24"/>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2" w:type="pct"/>
            <w:noWrap/>
            <w:vAlign w:val="center"/>
          </w:tcPr>
          <w:p>
            <w:pPr>
              <w:adjustRightInd w:val="0"/>
              <w:snapToGrid w:val="0"/>
              <w:jc w:val="center"/>
              <w:rPr>
                <w:color w:val="auto"/>
                <w:kern w:val="0"/>
                <w:sz w:val="24"/>
              </w:rPr>
            </w:pPr>
            <w:r>
              <w:rPr>
                <w:color w:val="auto"/>
                <w:kern w:val="0"/>
                <w:sz w:val="24"/>
              </w:rPr>
              <w:t>污染</w:t>
            </w:r>
          </w:p>
          <w:p>
            <w:pPr>
              <w:adjustRightInd w:val="0"/>
              <w:snapToGrid w:val="0"/>
              <w:jc w:val="center"/>
              <w:rPr>
                <w:color w:val="auto"/>
                <w:kern w:val="0"/>
                <w:sz w:val="24"/>
              </w:rPr>
            </w:pPr>
            <w:r>
              <w:rPr>
                <w:color w:val="auto"/>
                <w:kern w:val="0"/>
                <w:sz w:val="24"/>
              </w:rPr>
              <w:t>物排</w:t>
            </w:r>
          </w:p>
          <w:p>
            <w:pPr>
              <w:adjustRightInd w:val="0"/>
              <w:snapToGrid w:val="0"/>
              <w:jc w:val="center"/>
              <w:rPr>
                <w:color w:val="auto"/>
                <w:kern w:val="0"/>
                <w:sz w:val="24"/>
              </w:rPr>
            </w:pPr>
            <w:r>
              <w:rPr>
                <w:color w:val="auto"/>
                <w:kern w:val="0"/>
                <w:sz w:val="24"/>
              </w:rPr>
              <w:t>放控</w:t>
            </w:r>
          </w:p>
          <w:p>
            <w:pPr>
              <w:adjustRightInd w:val="0"/>
              <w:snapToGrid w:val="0"/>
              <w:jc w:val="center"/>
              <w:rPr>
                <w:color w:val="auto"/>
                <w:kern w:val="0"/>
                <w:sz w:val="24"/>
              </w:rPr>
            </w:pPr>
            <w:r>
              <w:rPr>
                <w:color w:val="auto"/>
                <w:kern w:val="0"/>
                <w:sz w:val="24"/>
              </w:rPr>
              <w:t>制标</w:t>
            </w:r>
          </w:p>
          <w:p>
            <w:pPr>
              <w:adjustRightInd w:val="0"/>
              <w:snapToGrid w:val="0"/>
              <w:jc w:val="center"/>
              <w:rPr>
                <w:color w:val="auto"/>
                <w:kern w:val="0"/>
                <w:sz w:val="24"/>
              </w:rPr>
            </w:pPr>
            <w:r>
              <w:rPr>
                <w:color w:val="auto"/>
                <w:kern w:val="0"/>
                <w:sz w:val="24"/>
              </w:rPr>
              <w:t>准</w:t>
            </w:r>
          </w:p>
        </w:tc>
        <w:tc>
          <w:tcPr>
            <w:tcW w:w="4717" w:type="pct"/>
            <w:noWrap/>
          </w:tcPr>
          <w:p>
            <w:pPr>
              <w:spacing w:beforeLines="50" w:line="360" w:lineRule="auto"/>
              <w:rPr>
                <w:b/>
                <w:bCs/>
                <w:color w:val="auto"/>
                <w:sz w:val="24"/>
              </w:rPr>
            </w:pPr>
            <w:r>
              <w:rPr>
                <w:b/>
                <w:bCs/>
                <w:color w:val="auto"/>
                <w:sz w:val="24"/>
              </w:rPr>
              <w:t>1、项目废气排放标准</w:t>
            </w:r>
          </w:p>
          <w:p>
            <w:pPr>
              <w:adjustRightInd w:val="0"/>
              <w:snapToGrid w:val="0"/>
              <w:spacing w:line="360" w:lineRule="auto"/>
              <w:ind w:firstLine="480" w:firstLineChars="200"/>
              <w:rPr>
                <w:color w:val="auto"/>
                <w:sz w:val="24"/>
              </w:rPr>
            </w:pPr>
            <w:r>
              <w:rPr>
                <w:rFonts w:hint="eastAsia"/>
                <w:color w:val="auto"/>
                <w:sz w:val="24"/>
              </w:rPr>
              <w:t>现有</w:t>
            </w:r>
            <w:r>
              <w:rPr>
                <w:color w:val="auto"/>
                <w:sz w:val="24"/>
              </w:rPr>
              <w:t>项目</w:t>
            </w:r>
            <w:r>
              <w:rPr>
                <w:rFonts w:hint="eastAsia"/>
                <w:color w:val="auto"/>
                <w:sz w:val="24"/>
              </w:rPr>
              <w:t>柴油发电过程中、危险废物存储过程中及乙醇使用过程中会产生废气。无组织废气</w:t>
            </w:r>
            <w:r>
              <w:rPr>
                <w:color w:val="auto"/>
                <w:sz w:val="24"/>
              </w:rPr>
              <w:t>执行《大气污染物综合排放标准》（DB32/4041-2021）表</w:t>
            </w:r>
            <w:r>
              <w:rPr>
                <w:rFonts w:hint="eastAsia"/>
                <w:color w:val="auto"/>
                <w:sz w:val="24"/>
              </w:rPr>
              <w:t>3</w:t>
            </w:r>
            <w:r>
              <w:rPr>
                <w:color w:val="auto"/>
                <w:sz w:val="24"/>
              </w:rPr>
              <w:t>标准；企业厂区内无组织排放监控点浓度执行《大气污染物综合排放标准》（DB32/4041-2021）表2排放标准。</w:t>
            </w:r>
            <w:r>
              <w:rPr>
                <w:rFonts w:hint="eastAsia"/>
                <w:color w:val="auto"/>
                <w:sz w:val="24"/>
              </w:rPr>
              <w:t>施工期场地扬尘执行</w:t>
            </w:r>
            <w:r>
              <w:rPr>
                <w:color w:val="auto"/>
                <w:sz w:val="24"/>
              </w:rPr>
              <w:t>《施工场地扬尘排放标准》（DB32</w:t>
            </w:r>
            <w:r>
              <w:rPr>
                <w:rFonts w:hint="eastAsia"/>
                <w:color w:val="auto"/>
                <w:sz w:val="24"/>
              </w:rPr>
              <w:t>/</w:t>
            </w:r>
            <w:r>
              <w:rPr>
                <w:color w:val="auto"/>
                <w:sz w:val="24"/>
              </w:rPr>
              <w:t>4437-2022）</w:t>
            </w:r>
            <w:r>
              <w:rPr>
                <w:rFonts w:hint="eastAsia"/>
                <w:color w:val="auto"/>
                <w:sz w:val="24"/>
              </w:rPr>
              <w:t>表1排放标准，</w:t>
            </w:r>
            <w:r>
              <w:rPr>
                <w:color w:val="auto"/>
                <w:sz w:val="24"/>
              </w:rPr>
              <w:t>具体限值见下表。</w:t>
            </w:r>
          </w:p>
          <w:p>
            <w:pPr>
              <w:pStyle w:val="2"/>
              <w:spacing w:line="240" w:lineRule="auto"/>
              <w:jc w:val="center"/>
              <w:rPr>
                <w:rFonts w:ascii="Times New Roman" w:hAnsi="Times New Roman"/>
                <w:b/>
                <w:bCs w:val="0"/>
                <w:color w:val="auto"/>
                <w:sz w:val="21"/>
                <w:szCs w:val="21"/>
              </w:rPr>
            </w:pPr>
            <w:r>
              <w:rPr>
                <w:rFonts w:ascii="Times New Roman" w:hAnsi="Times New Roman"/>
                <w:b/>
                <w:bCs w:val="0"/>
                <w:color w:val="auto"/>
                <w:sz w:val="21"/>
                <w:szCs w:val="21"/>
              </w:rPr>
              <w:t>表3-</w:t>
            </w:r>
            <w:r>
              <w:rPr>
                <w:rFonts w:hint="eastAsia" w:ascii="Times New Roman" w:hAnsi="Times New Roman"/>
                <w:b/>
                <w:bCs w:val="0"/>
                <w:color w:val="auto"/>
                <w:sz w:val="21"/>
                <w:szCs w:val="21"/>
              </w:rPr>
              <w:t>3</w:t>
            </w:r>
            <w:r>
              <w:rPr>
                <w:rFonts w:ascii="Times New Roman" w:hAnsi="Times New Roman"/>
                <w:b/>
                <w:bCs w:val="0"/>
                <w:color w:val="auto"/>
                <w:sz w:val="21"/>
                <w:szCs w:val="21"/>
              </w:rPr>
              <w:t>大气污染物排放标准</w:t>
            </w:r>
          </w:p>
          <w:tbl>
            <w:tblPr>
              <w:tblStyle w:val="20"/>
              <w:tblW w:w="8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720"/>
              <w:gridCol w:w="1176"/>
              <w:gridCol w:w="912"/>
              <w:gridCol w:w="958"/>
              <w:gridCol w:w="1811"/>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Merge w:val="restart"/>
                  <w:vAlign w:val="center"/>
                </w:tcPr>
                <w:p>
                  <w:pPr>
                    <w:spacing w:line="264" w:lineRule="auto"/>
                    <w:jc w:val="center"/>
                    <w:rPr>
                      <w:color w:val="auto"/>
                    </w:rPr>
                  </w:pPr>
                  <w:r>
                    <w:rPr>
                      <w:color w:val="auto"/>
                    </w:rPr>
                    <w:t>污染物</w:t>
                  </w:r>
                </w:p>
              </w:tc>
              <w:tc>
                <w:tcPr>
                  <w:tcW w:w="1720" w:type="dxa"/>
                  <w:vMerge w:val="restart"/>
                  <w:vAlign w:val="center"/>
                </w:tcPr>
                <w:p>
                  <w:pPr>
                    <w:spacing w:line="264" w:lineRule="auto"/>
                    <w:jc w:val="center"/>
                    <w:rPr>
                      <w:color w:val="auto"/>
                    </w:rPr>
                  </w:pPr>
                  <w:r>
                    <w:rPr>
                      <w:color w:val="auto"/>
                    </w:rPr>
                    <w:t>执行标准</w:t>
                  </w:r>
                </w:p>
              </w:tc>
              <w:tc>
                <w:tcPr>
                  <w:tcW w:w="1176" w:type="dxa"/>
                  <w:vMerge w:val="restart"/>
                  <w:vAlign w:val="center"/>
                </w:tcPr>
                <w:p>
                  <w:pPr>
                    <w:spacing w:line="264" w:lineRule="auto"/>
                    <w:jc w:val="center"/>
                    <w:rPr>
                      <w:color w:val="auto"/>
                    </w:rPr>
                  </w:pPr>
                  <w:r>
                    <w:rPr>
                      <w:color w:val="auto"/>
                    </w:rPr>
                    <w:t>最高允许排放浓度mg/m</w:t>
                  </w:r>
                  <w:r>
                    <w:rPr>
                      <w:color w:val="auto"/>
                      <w:vertAlign w:val="superscript"/>
                    </w:rPr>
                    <w:t>3</w:t>
                  </w:r>
                </w:p>
              </w:tc>
              <w:tc>
                <w:tcPr>
                  <w:tcW w:w="1870" w:type="dxa"/>
                  <w:gridSpan w:val="2"/>
                  <w:vAlign w:val="center"/>
                </w:tcPr>
                <w:p>
                  <w:pPr>
                    <w:spacing w:line="264" w:lineRule="auto"/>
                    <w:jc w:val="center"/>
                    <w:rPr>
                      <w:color w:val="auto"/>
                    </w:rPr>
                  </w:pPr>
                  <w:r>
                    <w:rPr>
                      <w:color w:val="auto"/>
                    </w:rPr>
                    <w:t>最高允许排放速率</w:t>
                  </w:r>
                </w:p>
              </w:tc>
              <w:tc>
                <w:tcPr>
                  <w:tcW w:w="2779" w:type="dxa"/>
                  <w:gridSpan w:val="2"/>
                  <w:vAlign w:val="center"/>
                </w:tcPr>
                <w:p>
                  <w:pPr>
                    <w:spacing w:line="264" w:lineRule="auto"/>
                    <w:jc w:val="center"/>
                    <w:rPr>
                      <w:color w:val="auto"/>
                    </w:rPr>
                  </w:pPr>
                  <w:r>
                    <w:rPr>
                      <w:color w:val="auto"/>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Merge w:val="continue"/>
                  <w:vAlign w:val="center"/>
                </w:tcPr>
                <w:p>
                  <w:pPr>
                    <w:spacing w:line="264" w:lineRule="auto"/>
                    <w:jc w:val="center"/>
                    <w:rPr>
                      <w:color w:val="auto"/>
                    </w:rPr>
                  </w:pPr>
                </w:p>
              </w:tc>
              <w:tc>
                <w:tcPr>
                  <w:tcW w:w="1720" w:type="dxa"/>
                  <w:vMerge w:val="continue"/>
                  <w:vAlign w:val="center"/>
                </w:tcPr>
                <w:p>
                  <w:pPr>
                    <w:spacing w:line="264" w:lineRule="auto"/>
                    <w:jc w:val="center"/>
                    <w:rPr>
                      <w:color w:val="auto"/>
                    </w:rPr>
                  </w:pPr>
                </w:p>
              </w:tc>
              <w:tc>
                <w:tcPr>
                  <w:tcW w:w="1176" w:type="dxa"/>
                  <w:vMerge w:val="continue"/>
                  <w:vAlign w:val="center"/>
                </w:tcPr>
                <w:p>
                  <w:pPr>
                    <w:spacing w:line="264" w:lineRule="auto"/>
                    <w:jc w:val="center"/>
                    <w:rPr>
                      <w:color w:val="auto"/>
                    </w:rPr>
                  </w:pPr>
                </w:p>
              </w:tc>
              <w:tc>
                <w:tcPr>
                  <w:tcW w:w="912" w:type="dxa"/>
                  <w:vAlign w:val="center"/>
                </w:tcPr>
                <w:p>
                  <w:pPr>
                    <w:spacing w:line="264" w:lineRule="auto"/>
                    <w:jc w:val="center"/>
                    <w:rPr>
                      <w:color w:val="auto"/>
                    </w:rPr>
                  </w:pPr>
                  <w:r>
                    <w:rPr>
                      <w:color w:val="auto"/>
                    </w:rPr>
                    <w:t>排气筒m</w:t>
                  </w:r>
                </w:p>
              </w:tc>
              <w:tc>
                <w:tcPr>
                  <w:tcW w:w="958" w:type="dxa"/>
                  <w:vAlign w:val="center"/>
                </w:tcPr>
                <w:p>
                  <w:pPr>
                    <w:spacing w:line="264" w:lineRule="auto"/>
                    <w:jc w:val="center"/>
                    <w:rPr>
                      <w:color w:val="auto"/>
                    </w:rPr>
                  </w:pPr>
                  <w:r>
                    <w:rPr>
                      <w:color w:val="auto"/>
                    </w:rPr>
                    <w:t>速率kg/h</w:t>
                  </w:r>
                </w:p>
              </w:tc>
              <w:tc>
                <w:tcPr>
                  <w:tcW w:w="1811" w:type="dxa"/>
                  <w:vAlign w:val="center"/>
                </w:tcPr>
                <w:p>
                  <w:pPr>
                    <w:spacing w:line="264" w:lineRule="auto"/>
                    <w:jc w:val="center"/>
                    <w:rPr>
                      <w:color w:val="auto"/>
                    </w:rPr>
                  </w:pPr>
                  <w:r>
                    <w:rPr>
                      <w:color w:val="auto"/>
                    </w:rPr>
                    <w:t>监控点</w:t>
                  </w:r>
                </w:p>
              </w:tc>
              <w:tc>
                <w:tcPr>
                  <w:tcW w:w="968" w:type="dxa"/>
                  <w:vAlign w:val="center"/>
                </w:tcPr>
                <w:p>
                  <w:pPr>
                    <w:spacing w:line="264" w:lineRule="auto"/>
                    <w:jc w:val="center"/>
                    <w:rPr>
                      <w:color w:val="auto"/>
                    </w:rPr>
                  </w:pPr>
                  <w:r>
                    <w:rPr>
                      <w:color w:val="auto"/>
                    </w:rPr>
                    <w:t>浓度mg/m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Align w:val="center"/>
                </w:tcPr>
                <w:p>
                  <w:pPr>
                    <w:spacing w:line="264" w:lineRule="auto"/>
                    <w:jc w:val="center"/>
                    <w:rPr>
                      <w:color w:val="auto"/>
                    </w:rPr>
                  </w:pPr>
                  <w:r>
                    <w:rPr>
                      <w:rFonts w:hint="eastAsia"/>
                      <w:color w:val="auto"/>
                    </w:rPr>
                    <w:t>颗粒物</w:t>
                  </w:r>
                </w:p>
              </w:tc>
              <w:tc>
                <w:tcPr>
                  <w:tcW w:w="1720" w:type="dxa"/>
                  <w:vMerge w:val="restart"/>
                  <w:vAlign w:val="center"/>
                </w:tcPr>
                <w:p>
                  <w:pPr>
                    <w:spacing w:line="264" w:lineRule="auto"/>
                    <w:jc w:val="center"/>
                    <w:rPr>
                      <w:color w:val="auto"/>
                    </w:rPr>
                  </w:pPr>
                  <w:r>
                    <w:rPr>
                      <w:color w:val="auto"/>
                    </w:rPr>
                    <w:t>《大气污染物综合排放标准》（DB32/4041-2021）表</w:t>
                  </w:r>
                  <w:r>
                    <w:rPr>
                      <w:rFonts w:hint="eastAsia"/>
                      <w:color w:val="auto"/>
                    </w:rPr>
                    <w:t>3</w:t>
                  </w:r>
                  <w:r>
                    <w:rPr>
                      <w:color w:val="auto"/>
                    </w:rPr>
                    <w:t>标准</w:t>
                  </w:r>
                </w:p>
              </w:tc>
              <w:tc>
                <w:tcPr>
                  <w:tcW w:w="1176" w:type="dxa"/>
                  <w:vAlign w:val="center"/>
                </w:tcPr>
                <w:p>
                  <w:pPr>
                    <w:spacing w:line="264" w:lineRule="auto"/>
                    <w:jc w:val="center"/>
                    <w:rPr>
                      <w:color w:val="auto"/>
                    </w:rPr>
                  </w:pPr>
                  <w:r>
                    <w:rPr>
                      <w:color w:val="auto"/>
                    </w:rPr>
                    <w:t>/</w:t>
                  </w:r>
                </w:p>
              </w:tc>
              <w:tc>
                <w:tcPr>
                  <w:tcW w:w="912" w:type="dxa"/>
                  <w:vAlign w:val="center"/>
                </w:tcPr>
                <w:p>
                  <w:pPr>
                    <w:spacing w:line="264" w:lineRule="auto"/>
                    <w:jc w:val="center"/>
                    <w:rPr>
                      <w:color w:val="auto"/>
                    </w:rPr>
                  </w:pPr>
                  <w:r>
                    <w:rPr>
                      <w:color w:val="auto"/>
                    </w:rPr>
                    <w:t>/</w:t>
                  </w:r>
                </w:p>
              </w:tc>
              <w:tc>
                <w:tcPr>
                  <w:tcW w:w="958" w:type="dxa"/>
                  <w:vAlign w:val="center"/>
                </w:tcPr>
                <w:p>
                  <w:pPr>
                    <w:spacing w:line="264" w:lineRule="auto"/>
                    <w:jc w:val="center"/>
                    <w:rPr>
                      <w:color w:val="auto"/>
                    </w:rPr>
                  </w:pPr>
                  <w:r>
                    <w:rPr>
                      <w:color w:val="auto"/>
                    </w:rPr>
                    <w:t>/</w:t>
                  </w:r>
                </w:p>
              </w:tc>
              <w:tc>
                <w:tcPr>
                  <w:tcW w:w="1811" w:type="dxa"/>
                  <w:vAlign w:val="center"/>
                </w:tcPr>
                <w:p>
                  <w:pPr>
                    <w:spacing w:line="264" w:lineRule="auto"/>
                    <w:jc w:val="center"/>
                    <w:rPr>
                      <w:color w:val="auto"/>
                    </w:rPr>
                  </w:pPr>
                  <w:r>
                    <w:rPr>
                      <w:color w:val="auto"/>
                    </w:rPr>
                    <w:t>厂界</w:t>
                  </w:r>
                </w:p>
              </w:tc>
              <w:tc>
                <w:tcPr>
                  <w:tcW w:w="968" w:type="dxa"/>
                  <w:vAlign w:val="center"/>
                </w:tcPr>
                <w:p>
                  <w:pPr>
                    <w:spacing w:line="264" w:lineRule="auto"/>
                    <w:jc w:val="center"/>
                    <w:rPr>
                      <w:color w:val="auto"/>
                    </w:rPr>
                  </w:pPr>
                  <w:r>
                    <w:rPr>
                      <w:rFonts w:hint="eastAsia"/>
                      <w:color w:val="auto"/>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Align w:val="center"/>
                </w:tcPr>
                <w:p>
                  <w:pPr>
                    <w:spacing w:line="264" w:lineRule="auto"/>
                    <w:jc w:val="center"/>
                    <w:rPr>
                      <w:color w:val="auto"/>
                    </w:rPr>
                  </w:pPr>
                  <w:r>
                    <w:rPr>
                      <w:rFonts w:hint="eastAsia"/>
                      <w:color w:val="auto"/>
                    </w:rPr>
                    <w:t>二氧化硫</w:t>
                  </w:r>
                </w:p>
              </w:tc>
              <w:tc>
                <w:tcPr>
                  <w:tcW w:w="1720" w:type="dxa"/>
                  <w:vMerge w:val="continue"/>
                  <w:vAlign w:val="center"/>
                </w:tcPr>
                <w:p>
                  <w:pPr>
                    <w:spacing w:line="264" w:lineRule="auto"/>
                    <w:jc w:val="center"/>
                    <w:rPr>
                      <w:color w:val="auto"/>
                    </w:rPr>
                  </w:pPr>
                </w:p>
              </w:tc>
              <w:tc>
                <w:tcPr>
                  <w:tcW w:w="1176" w:type="dxa"/>
                  <w:vAlign w:val="center"/>
                </w:tcPr>
                <w:p>
                  <w:pPr>
                    <w:spacing w:line="264" w:lineRule="auto"/>
                    <w:jc w:val="center"/>
                    <w:rPr>
                      <w:color w:val="auto"/>
                    </w:rPr>
                  </w:pPr>
                  <w:r>
                    <w:rPr>
                      <w:color w:val="auto"/>
                    </w:rPr>
                    <w:t>/</w:t>
                  </w:r>
                </w:p>
              </w:tc>
              <w:tc>
                <w:tcPr>
                  <w:tcW w:w="912" w:type="dxa"/>
                  <w:vAlign w:val="center"/>
                </w:tcPr>
                <w:p>
                  <w:pPr>
                    <w:spacing w:line="264" w:lineRule="auto"/>
                    <w:jc w:val="center"/>
                    <w:rPr>
                      <w:color w:val="auto"/>
                    </w:rPr>
                  </w:pPr>
                  <w:r>
                    <w:rPr>
                      <w:color w:val="auto"/>
                    </w:rPr>
                    <w:t>/</w:t>
                  </w:r>
                </w:p>
              </w:tc>
              <w:tc>
                <w:tcPr>
                  <w:tcW w:w="958" w:type="dxa"/>
                  <w:vAlign w:val="center"/>
                </w:tcPr>
                <w:p>
                  <w:pPr>
                    <w:spacing w:line="264" w:lineRule="auto"/>
                    <w:jc w:val="center"/>
                    <w:rPr>
                      <w:color w:val="auto"/>
                    </w:rPr>
                  </w:pPr>
                  <w:r>
                    <w:rPr>
                      <w:color w:val="auto"/>
                    </w:rPr>
                    <w:t>/</w:t>
                  </w:r>
                </w:p>
              </w:tc>
              <w:tc>
                <w:tcPr>
                  <w:tcW w:w="1811" w:type="dxa"/>
                  <w:vAlign w:val="center"/>
                </w:tcPr>
                <w:p>
                  <w:pPr>
                    <w:spacing w:line="264" w:lineRule="auto"/>
                    <w:jc w:val="center"/>
                    <w:rPr>
                      <w:color w:val="auto"/>
                    </w:rPr>
                  </w:pPr>
                  <w:r>
                    <w:rPr>
                      <w:color w:val="auto"/>
                    </w:rPr>
                    <w:t>厂界</w:t>
                  </w:r>
                </w:p>
              </w:tc>
              <w:tc>
                <w:tcPr>
                  <w:tcW w:w="968" w:type="dxa"/>
                  <w:vAlign w:val="center"/>
                </w:tcPr>
                <w:p>
                  <w:pPr>
                    <w:spacing w:line="264" w:lineRule="auto"/>
                    <w:jc w:val="center"/>
                    <w:rPr>
                      <w:color w:val="auto"/>
                    </w:rPr>
                  </w:pPr>
                  <w:r>
                    <w:rPr>
                      <w:rFonts w:hint="eastAsia"/>
                      <w:color w:val="auto"/>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Align w:val="center"/>
                </w:tcPr>
                <w:p>
                  <w:pPr>
                    <w:spacing w:line="264" w:lineRule="auto"/>
                    <w:jc w:val="center"/>
                    <w:rPr>
                      <w:color w:val="auto"/>
                    </w:rPr>
                  </w:pPr>
                  <w:r>
                    <w:rPr>
                      <w:rFonts w:hint="eastAsia"/>
                      <w:color w:val="auto"/>
                    </w:rPr>
                    <w:t>氮氧化物</w:t>
                  </w:r>
                </w:p>
              </w:tc>
              <w:tc>
                <w:tcPr>
                  <w:tcW w:w="1720" w:type="dxa"/>
                  <w:vMerge w:val="continue"/>
                  <w:vAlign w:val="center"/>
                </w:tcPr>
                <w:p>
                  <w:pPr>
                    <w:spacing w:line="264" w:lineRule="auto"/>
                    <w:jc w:val="center"/>
                    <w:rPr>
                      <w:color w:val="auto"/>
                    </w:rPr>
                  </w:pPr>
                </w:p>
              </w:tc>
              <w:tc>
                <w:tcPr>
                  <w:tcW w:w="1176" w:type="dxa"/>
                  <w:vAlign w:val="center"/>
                </w:tcPr>
                <w:p>
                  <w:pPr>
                    <w:spacing w:line="264" w:lineRule="auto"/>
                    <w:jc w:val="center"/>
                    <w:rPr>
                      <w:color w:val="auto"/>
                    </w:rPr>
                  </w:pPr>
                  <w:r>
                    <w:rPr>
                      <w:color w:val="auto"/>
                    </w:rPr>
                    <w:t>/</w:t>
                  </w:r>
                </w:p>
              </w:tc>
              <w:tc>
                <w:tcPr>
                  <w:tcW w:w="912" w:type="dxa"/>
                  <w:vAlign w:val="center"/>
                </w:tcPr>
                <w:p>
                  <w:pPr>
                    <w:spacing w:line="264" w:lineRule="auto"/>
                    <w:jc w:val="center"/>
                    <w:rPr>
                      <w:color w:val="auto"/>
                    </w:rPr>
                  </w:pPr>
                  <w:r>
                    <w:rPr>
                      <w:color w:val="auto"/>
                    </w:rPr>
                    <w:t>/</w:t>
                  </w:r>
                </w:p>
              </w:tc>
              <w:tc>
                <w:tcPr>
                  <w:tcW w:w="958" w:type="dxa"/>
                  <w:vAlign w:val="center"/>
                </w:tcPr>
                <w:p>
                  <w:pPr>
                    <w:spacing w:line="264" w:lineRule="auto"/>
                    <w:jc w:val="center"/>
                    <w:rPr>
                      <w:color w:val="auto"/>
                    </w:rPr>
                  </w:pPr>
                  <w:r>
                    <w:rPr>
                      <w:color w:val="auto"/>
                    </w:rPr>
                    <w:t>/</w:t>
                  </w:r>
                </w:p>
              </w:tc>
              <w:tc>
                <w:tcPr>
                  <w:tcW w:w="1811" w:type="dxa"/>
                  <w:vAlign w:val="center"/>
                </w:tcPr>
                <w:p>
                  <w:pPr>
                    <w:spacing w:line="264" w:lineRule="auto"/>
                    <w:jc w:val="center"/>
                    <w:rPr>
                      <w:color w:val="auto"/>
                    </w:rPr>
                  </w:pPr>
                  <w:r>
                    <w:rPr>
                      <w:color w:val="auto"/>
                    </w:rPr>
                    <w:t>厂界</w:t>
                  </w:r>
                </w:p>
              </w:tc>
              <w:tc>
                <w:tcPr>
                  <w:tcW w:w="968" w:type="dxa"/>
                  <w:vAlign w:val="center"/>
                </w:tcPr>
                <w:p>
                  <w:pPr>
                    <w:spacing w:line="264" w:lineRule="auto"/>
                    <w:jc w:val="center"/>
                    <w:rPr>
                      <w:color w:val="auto"/>
                    </w:rPr>
                  </w:pPr>
                  <w:r>
                    <w:rPr>
                      <w:rFonts w:hint="eastAsia"/>
                      <w:color w:val="auto"/>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Merge w:val="restart"/>
                  <w:vAlign w:val="center"/>
                </w:tcPr>
                <w:p>
                  <w:pPr>
                    <w:spacing w:line="264" w:lineRule="auto"/>
                    <w:jc w:val="center"/>
                    <w:rPr>
                      <w:color w:val="auto"/>
                    </w:rPr>
                  </w:pPr>
                  <w:r>
                    <w:rPr>
                      <w:color w:val="auto"/>
                    </w:rPr>
                    <w:t>非甲烷总烃</w:t>
                  </w:r>
                </w:p>
              </w:tc>
              <w:tc>
                <w:tcPr>
                  <w:tcW w:w="1720" w:type="dxa"/>
                  <w:vMerge w:val="continue"/>
                  <w:vAlign w:val="center"/>
                </w:tcPr>
                <w:p>
                  <w:pPr>
                    <w:spacing w:line="264" w:lineRule="auto"/>
                    <w:jc w:val="center"/>
                    <w:rPr>
                      <w:color w:val="auto"/>
                    </w:rPr>
                  </w:pPr>
                </w:p>
              </w:tc>
              <w:tc>
                <w:tcPr>
                  <w:tcW w:w="1176" w:type="dxa"/>
                  <w:vAlign w:val="center"/>
                </w:tcPr>
                <w:p>
                  <w:pPr>
                    <w:spacing w:line="264" w:lineRule="auto"/>
                    <w:jc w:val="center"/>
                    <w:rPr>
                      <w:color w:val="auto"/>
                    </w:rPr>
                  </w:pPr>
                  <w:r>
                    <w:rPr>
                      <w:color w:val="auto"/>
                    </w:rPr>
                    <w:t>/</w:t>
                  </w:r>
                </w:p>
              </w:tc>
              <w:tc>
                <w:tcPr>
                  <w:tcW w:w="912" w:type="dxa"/>
                  <w:vAlign w:val="center"/>
                </w:tcPr>
                <w:p>
                  <w:pPr>
                    <w:spacing w:line="264" w:lineRule="auto"/>
                    <w:jc w:val="center"/>
                    <w:rPr>
                      <w:color w:val="auto"/>
                    </w:rPr>
                  </w:pPr>
                  <w:r>
                    <w:rPr>
                      <w:color w:val="auto"/>
                    </w:rPr>
                    <w:t>/</w:t>
                  </w:r>
                </w:p>
              </w:tc>
              <w:tc>
                <w:tcPr>
                  <w:tcW w:w="958" w:type="dxa"/>
                  <w:vAlign w:val="center"/>
                </w:tcPr>
                <w:p>
                  <w:pPr>
                    <w:spacing w:line="264" w:lineRule="auto"/>
                    <w:jc w:val="center"/>
                    <w:rPr>
                      <w:color w:val="auto"/>
                    </w:rPr>
                  </w:pPr>
                  <w:r>
                    <w:rPr>
                      <w:color w:val="auto"/>
                    </w:rPr>
                    <w:t>/</w:t>
                  </w:r>
                </w:p>
              </w:tc>
              <w:tc>
                <w:tcPr>
                  <w:tcW w:w="1811" w:type="dxa"/>
                  <w:vAlign w:val="center"/>
                </w:tcPr>
                <w:p>
                  <w:pPr>
                    <w:spacing w:line="264" w:lineRule="auto"/>
                    <w:jc w:val="center"/>
                    <w:rPr>
                      <w:color w:val="auto"/>
                    </w:rPr>
                  </w:pPr>
                  <w:r>
                    <w:rPr>
                      <w:color w:val="auto"/>
                    </w:rPr>
                    <w:t>厂界</w:t>
                  </w:r>
                </w:p>
              </w:tc>
              <w:tc>
                <w:tcPr>
                  <w:tcW w:w="968" w:type="dxa"/>
                  <w:vAlign w:val="center"/>
                </w:tcPr>
                <w:p>
                  <w:pPr>
                    <w:spacing w:line="264" w:lineRule="auto"/>
                    <w:jc w:val="center"/>
                    <w:rPr>
                      <w:color w:val="auto"/>
                    </w:rPr>
                  </w:pPr>
                  <w:r>
                    <w:rPr>
                      <w:color w:val="auto"/>
                    </w:rPr>
                    <w:t>4</w:t>
                  </w:r>
                  <w:r>
                    <w:rPr>
                      <w:rFonts w:hint="eastAsia"/>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Merge w:val="continue"/>
                  <w:vAlign w:val="center"/>
                </w:tcPr>
                <w:p>
                  <w:pPr>
                    <w:spacing w:line="264" w:lineRule="auto"/>
                    <w:jc w:val="center"/>
                    <w:rPr>
                      <w:color w:val="auto"/>
                    </w:rPr>
                  </w:pPr>
                </w:p>
              </w:tc>
              <w:tc>
                <w:tcPr>
                  <w:tcW w:w="1720" w:type="dxa"/>
                  <w:vMerge w:val="restart"/>
                  <w:vAlign w:val="center"/>
                </w:tcPr>
                <w:p>
                  <w:pPr>
                    <w:spacing w:line="264" w:lineRule="auto"/>
                    <w:jc w:val="center"/>
                    <w:rPr>
                      <w:color w:val="auto"/>
                    </w:rPr>
                  </w:pPr>
                  <w:r>
                    <w:rPr>
                      <w:color w:val="auto"/>
                    </w:rPr>
                    <w:t>《大气污染物综合排放标准》（DB32/4041-2021）表2排放标准</w:t>
                  </w:r>
                </w:p>
              </w:tc>
              <w:tc>
                <w:tcPr>
                  <w:tcW w:w="1176" w:type="dxa"/>
                  <w:vAlign w:val="center"/>
                </w:tcPr>
                <w:p>
                  <w:pPr>
                    <w:spacing w:line="264" w:lineRule="auto"/>
                    <w:jc w:val="center"/>
                    <w:rPr>
                      <w:color w:val="auto"/>
                    </w:rPr>
                  </w:pPr>
                  <w:r>
                    <w:rPr>
                      <w:color w:val="auto"/>
                    </w:rPr>
                    <w:t>/</w:t>
                  </w:r>
                </w:p>
              </w:tc>
              <w:tc>
                <w:tcPr>
                  <w:tcW w:w="912" w:type="dxa"/>
                  <w:vAlign w:val="center"/>
                </w:tcPr>
                <w:p>
                  <w:pPr>
                    <w:spacing w:line="264" w:lineRule="auto"/>
                    <w:jc w:val="center"/>
                    <w:rPr>
                      <w:color w:val="auto"/>
                    </w:rPr>
                  </w:pPr>
                  <w:r>
                    <w:rPr>
                      <w:color w:val="auto"/>
                    </w:rPr>
                    <w:t>/</w:t>
                  </w:r>
                </w:p>
              </w:tc>
              <w:tc>
                <w:tcPr>
                  <w:tcW w:w="958" w:type="dxa"/>
                  <w:vAlign w:val="center"/>
                </w:tcPr>
                <w:p>
                  <w:pPr>
                    <w:spacing w:line="264" w:lineRule="auto"/>
                    <w:jc w:val="center"/>
                    <w:rPr>
                      <w:color w:val="auto"/>
                    </w:rPr>
                  </w:pPr>
                  <w:r>
                    <w:rPr>
                      <w:color w:val="auto"/>
                    </w:rPr>
                    <w:t>/</w:t>
                  </w:r>
                </w:p>
              </w:tc>
              <w:tc>
                <w:tcPr>
                  <w:tcW w:w="1811" w:type="dxa"/>
                  <w:vAlign w:val="center"/>
                </w:tcPr>
                <w:p>
                  <w:pPr>
                    <w:spacing w:line="264" w:lineRule="auto"/>
                    <w:jc w:val="center"/>
                    <w:rPr>
                      <w:color w:val="auto"/>
                    </w:rPr>
                  </w:pPr>
                  <w:r>
                    <w:rPr>
                      <w:color w:val="auto"/>
                    </w:rPr>
                    <w:t>厂房外监控点处1h平均浓度值</w:t>
                  </w:r>
                </w:p>
              </w:tc>
              <w:tc>
                <w:tcPr>
                  <w:tcW w:w="968" w:type="dxa"/>
                  <w:vAlign w:val="center"/>
                </w:tcPr>
                <w:p>
                  <w:pPr>
                    <w:spacing w:line="264" w:lineRule="auto"/>
                    <w:jc w:val="center"/>
                    <w:rPr>
                      <w:color w:val="auto"/>
                    </w:rPr>
                  </w:pPr>
                  <w:r>
                    <w:rPr>
                      <w:color w:val="auto"/>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8" w:type="dxa"/>
                  <w:vMerge w:val="continue"/>
                  <w:vAlign w:val="center"/>
                </w:tcPr>
                <w:p>
                  <w:pPr>
                    <w:spacing w:line="264" w:lineRule="auto"/>
                    <w:jc w:val="center"/>
                    <w:rPr>
                      <w:color w:val="auto"/>
                    </w:rPr>
                  </w:pPr>
                </w:p>
              </w:tc>
              <w:tc>
                <w:tcPr>
                  <w:tcW w:w="1720" w:type="dxa"/>
                  <w:vMerge w:val="continue"/>
                  <w:vAlign w:val="center"/>
                </w:tcPr>
                <w:p>
                  <w:pPr>
                    <w:spacing w:line="264" w:lineRule="auto"/>
                    <w:jc w:val="center"/>
                    <w:rPr>
                      <w:color w:val="auto"/>
                    </w:rPr>
                  </w:pPr>
                </w:p>
              </w:tc>
              <w:tc>
                <w:tcPr>
                  <w:tcW w:w="1176" w:type="dxa"/>
                  <w:vAlign w:val="center"/>
                </w:tcPr>
                <w:p>
                  <w:pPr>
                    <w:spacing w:line="264" w:lineRule="auto"/>
                    <w:jc w:val="center"/>
                    <w:rPr>
                      <w:color w:val="auto"/>
                    </w:rPr>
                  </w:pPr>
                  <w:r>
                    <w:rPr>
                      <w:color w:val="auto"/>
                    </w:rPr>
                    <w:t>/</w:t>
                  </w:r>
                </w:p>
              </w:tc>
              <w:tc>
                <w:tcPr>
                  <w:tcW w:w="912" w:type="dxa"/>
                  <w:vAlign w:val="center"/>
                </w:tcPr>
                <w:p>
                  <w:pPr>
                    <w:spacing w:line="264" w:lineRule="auto"/>
                    <w:jc w:val="center"/>
                    <w:rPr>
                      <w:color w:val="auto"/>
                    </w:rPr>
                  </w:pPr>
                  <w:r>
                    <w:rPr>
                      <w:color w:val="auto"/>
                    </w:rPr>
                    <w:t>/</w:t>
                  </w:r>
                </w:p>
              </w:tc>
              <w:tc>
                <w:tcPr>
                  <w:tcW w:w="958" w:type="dxa"/>
                  <w:vAlign w:val="center"/>
                </w:tcPr>
                <w:p>
                  <w:pPr>
                    <w:spacing w:line="264" w:lineRule="auto"/>
                    <w:jc w:val="center"/>
                    <w:rPr>
                      <w:color w:val="auto"/>
                    </w:rPr>
                  </w:pPr>
                  <w:r>
                    <w:rPr>
                      <w:color w:val="auto"/>
                    </w:rPr>
                    <w:t>/</w:t>
                  </w:r>
                </w:p>
              </w:tc>
              <w:tc>
                <w:tcPr>
                  <w:tcW w:w="1811" w:type="dxa"/>
                  <w:vAlign w:val="center"/>
                </w:tcPr>
                <w:p>
                  <w:pPr>
                    <w:spacing w:line="264" w:lineRule="auto"/>
                    <w:jc w:val="center"/>
                    <w:rPr>
                      <w:color w:val="auto"/>
                    </w:rPr>
                  </w:pPr>
                  <w:r>
                    <w:rPr>
                      <w:color w:val="auto"/>
                    </w:rPr>
                    <w:t>厂房外监控点处任意一次浓度值</w:t>
                  </w:r>
                </w:p>
              </w:tc>
              <w:tc>
                <w:tcPr>
                  <w:tcW w:w="968" w:type="dxa"/>
                  <w:vAlign w:val="center"/>
                </w:tcPr>
                <w:p>
                  <w:pPr>
                    <w:spacing w:line="264" w:lineRule="auto"/>
                    <w:jc w:val="center"/>
                    <w:rPr>
                      <w:color w:val="auto"/>
                    </w:rPr>
                  </w:pPr>
                  <w:r>
                    <w:rPr>
                      <w:color w:val="auto"/>
                    </w:rPr>
                    <w:t>20</w:t>
                  </w:r>
                </w:p>
              </w:tc>
            </w:tr>
          </w:tbl>
          <w:p>
            <w:pPr>
              <w:jc w:val="center"/>
              <w:rPr>
                <w:b/>
                <w:bCs/>
                <w:color w:val="auto"/>
                <w:szCs w:val="21"/>
              </w:rPr>
            </w:pPr>
            <w:r>
              <w:rPr>
                <w:b/>
                <w:bCs/>
                <w:color w:val="auto"/>
                <w:szCs w:val="21"/>
              </w:rPr>
              <w:t>表3-</w:t>
            </w:r>
            <w:r>
              <w:rPr>
                <w:rFonts w:hint="eastAsia"/>
                <w:b/>
                <w:bCs/>
                <w:color w:val="auto"/>
                <w:szCs w:val="21"/>
              </w:rPr>
              <w:t>4施工场地扬尘排放标准</w:t>
            </w:r>
          </w:p>
          <w:tbl>
            <w:tblPr>
              <w:tblStyle w:val="19"/>
              <w:tblW w:w="803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091"/>
              <w:gridCol w:w="3447"/>
              <w:gridCol w:w="350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678" w:type="pct"/>
                  <w:tcBorders>
                    <w:tl2br w:val="nil"/>
                    <w:tr2bl w:val="nil"/>
                  </w:tcBorders>
                  <w:noWrap/>
                  <w:vAlign w:val="center"/>
                </w:tcPr>
                <w:p>
                  <w:pPr>
                    <w:jc w:val="center"/>
                    <w:rPr>
                      <w:b/>
                      <w:color w:val="auto"/>
                      <w:szCs w:val="21"/>
                    </w:rPr>
                  </w:pPr>
                  <w:r>
                    <w:rPr>
                      <w:b/>
                      <w:color w:val="auto"/>
                      <w:szCs w:val="21"/>
                    </w:rPr>
                    <w:t>污染</w:t>
                  </w:r>
                  <w:r>
                    <w:rPr>
                      <w:rFonts w:hint="eastAsia"/>
                      <w:b/>
                      <w:color w:val="auto"/>
                      <w:szCs w:val="21"/>
                    </w:rPr>
                    <w:t>项目</w:t>
                  </w:r>
                </w:p>
              </w:tc>
              <w:tc>
                <w:tcPr>
                  <w:tcW w:w="2144" w:type="pct"/>
                  <w:tcBorders>
                    <w:tl2br w:val="nil"/>
                    <w:tr2bl w:val="nil"/>
                  </w:tcBorders>
                  <w:noWrap/>
                  <w:vAlign w:val="center"/>
                </w:tcPr>
                <w:p>
                  <w:pPr>
                    <w:jc w:val="center"/>
                    <w:rPr>
                      <w:b/>
                      <w:color w:val="auto"/>
                      <w:szCs w:val="21"/>
                    </w:rPr>
                  </w:pPr>
                  <w:r>
                    <w:rPr>
                      <w:rFonts w:hint="eastAsia"/>
                      <w:b/>
                      <w:color w:val="auto"/>
                      <w:szCs w:val="21"/>
                    </w:rPr>
                    <w:t>监控点限值mg/m</w:t>
                  </w:r>
                  <w:r>
                    <w:rPr>
                      <w:rFonts w:hint="eastAsia"/>
                      <w:b/>
                      <w:color w:val="auto"/>
                      <w:szCs w:val="21"/>
                      <w:vertAlign w:val="superscript"/>
                    </w:rPr>
                    <w:t>3</w:t>
                  </w:r>
                </w:p>
              </w:tc>
              <w:tc>
                <w:tcPr>
                  <w:tcW w:w="2177" w:type="pct"/>
                  <w:tcBorders>
                    <w:tl2br w:val="nil"/>
                    <w:tr2bl w:val="nil"/>
                  </w:tcBorders>
                  <w:noWrap/>
                  <w:vAlign w:val="center"/>
                </w:tcPr>
                <w:p>
                  <w:pPr>
                    <w:jc w:val="center"/>
                    <w:rPr>
                      <w:b/>
                      <w:color w:val="auto"/>
                      <w:szCs w:val="21"/>
                    </w:rPr>
                  </w:pPr>
                  <w:r>
                    <w:rPr>
                      <w:rFonts w:hint="eastAsia"/>
                      <w:b/>
                      <w:color w:val="auto"/>
                      <w:szCs w:val="21"/>
                    </w:rPr>
                    <w:t>标准来源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678" w:type="pct"/>
                  <w:tcBorders>
                    <w:tl2br w:val="nil"/>
                    <w:tr2bl w:val="nil"/>
                  </w:tcBorders>
                  <w:noWrap/>
                  <w:vAlign w:val="center"/>
                </w:tcPr>
                <w:p>
                  <w:pPr>
                    <w:jc w:val="center"/>
                    <w:rPr>
                      <w:color w:val="auto"/>
                      <w:szCs w:val="21"/>
                    </w:rPr>
                  </w:pPr>
                  <w:r>
                    <w:rPr>
                      <w:rFonts w:hint="eastAsia"/>
                      <w:color w:val="auto"/>
                      <w:szCs w:val="21"/>
                    </w:rPr>
                    <w:t>TSP</w:t>
                  </w:r>
                </w:p>
              </w:tc>
              <w:tc>
                <w:tcPr>
                  <w:tcW w:w="2144" w:type="pct"/>
                  <w:tcBorders>
                    <w:tl2br w:val="nil"/>
                    <w:tr2bl w:val="nil"/>
                  </w:tcBorders>
                  <w:noWrap/>
                  <w:vAlign w:val="center"/>
                </w:tcPr>
                <w:p>
                  <w:pPr>
                    <w:jc w:val="center"/>
                    <w:rPr>
                      <w:b/>
                      <w:color w:val="auto"/>
                      <w:szCs w:val="21"/>
                    </w:rPr>
                  </w:pPr>
                  <w:r>
                    <w:rPr>
                      <w:rFonts w:hint="eastAsia"/>
                      <w:color w:val="auto"/>
                      <w:szCs w:val="21"/>
                    </w:rPr>
                    <w:t>500</w:t>
                  </w:r>
                </w:p>
              </w:tc>
              <w:tc>
                <w:tcPr>
                  <w:tcW w:w="2177" w:type="pct"/>
                  <w:vMerge w:val="restart"/>
                  <w:tcBorders>
                    <w:tl2br w:val="nil"/>
                    <w:tr2bl w:val="nil"/>
                  </w:tcBorders>
                  <w:noWrap/>
                  <w:vAlign w:val="center"/>
                </w:tcPr>
                <w:p>
                  <w:pPr>
                    <w:jc w:val="center"/>
                    <w:rPr>
                      <w:b/>
                      <w:color w:val="auto"/>
                      <w:szCs w:val="21"/>
                    </w:rPr>
                  </w:pPr>
                  <w:r>
                    <w:rPr>
                      <w:color w:val="auto"/>
                    </w:rPr>
                    <w:t>《施工场地扬尘排放标准》（DB32</w:t>
                  </w:r>
                  <w:r>
                    <w:rPr>
                      <w:rFonts w:hint="eastAsia"/>
                      <w:color w:val="auto"/>
                    </w:rPr>
                    <w:t>/</w:t>
                  </w:r>
                  <w:r>
                    <w:rPr>
                      <w:color w:val="auto"/>
                    </w:rPr>
                    <w:t>4437-2022）</w:t>
                  </w:r>
                  <w:r>
                    <w:rPr>
                      <w:rFonts w:hint="eastAsia"/>
                      <w:color w:val="auto"/>
                    </w:rPr>
                    <w:t>表1排放标准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678" w:type="pct"/>
                  <w:tcBorders>
                    <w:tl2br w:val="nil"/>
                    <w:tr2bl w:val="nil"/>
                  </w:tcBorders>
                  <w:noWrap/>
                  <w:vAlign w:val="center"/>
                </w:tcPr>
                <w:p>
                  <w:pPr>
                    <w:jc w:val="center"/>
                    <w:rPr>
                      <w:b/>
                      <w:color w:val="auto"/>
                      <w:szCs w:val="21"/>
                    </w:rPr>
                  </w:pPr>
                  <w:r>
                    <w:rPr>
                      <w:rFonts w:hint="eastAsia"/>
                      <w:bCs/>
                      <w:color w:val="auto"/>
                      <w:szCs w:val="21"/>
                    </w:rPr>
                    <w:t>PM</w:t>
                  </w:r>
                  <w:r>
                    <w:rPr>
                      <w:rFonts w:hint="eastAsia"/>
                      <w:bCs/>
                      <w:color w:val="auto"/>
                      <w:szCs w:val="21"/>
                      <w:vertAlign w:val="subscript"/>
                    </w:rPr>
                    <w:t>10</w:t>
                  </w:r>
                </w:p>
              </w:tc>
              <w:tc>
                <w:tcPr>
                  <w:tcW w:w="2144" w:type="pct"/>
                  <w:tcBorders>
                    <w:tl2br w:val="nil"/>
                    <w:tr2bl w:val="nil"/>
                  </w:tcBorders>
                  <w:noWrap/>
                  <w:vAlign w:val="center"/>
                </w:tcPr>
                <w:p>
                  <w:pPr>
                    <w:jc w:val="center"/>
                    <w:rPr>
                      <w:b/>
                      <w:color w:val="auto"/>
                      <w:szCs w:val="21"/>
                    </w:rPr>
                  </w:pPr>
                  <w:r>
                    <w:rPr>
                      <w:rFonts w:hint="eastAsia"/>
                      <w:color w:val="auto"/>
                      <w:szCs w:val="21"/>
                    </w:rPr>
                    <w:t>80</w:t>
                  </w:r>
                </w:p>
              </w:tc>
              <w:tc>
                <w:tcPr>
                  <w:tcW w:w="2177" w:type="pct"/>
                  <w:vMerge w:val="continue"/>
                  <w:tcBorders>
                    <w:tl2br w:val="nil"/>
                    <w:tr2bl w:val="nil"/>
                  </w:tcBorders>
                  <w:noWrap/>
                  <w:vAlign w:val="center"/>
                </w:tcPr>
                <w:p>
                  <w:pPr>
                    <w:jc w:val="center"/>
                    <w:rPr>
                      <w:b/>
                      <w:color w:val="auto"/>
                      <w:szCs w:val="21"/>
                    </w:rPr>
                  </w:pPr>
                </w:p>
              </w:tc>
            </w:tr>
          </w:tbl>
          <w:p>
            <w:pPr>
              <w:spacing w:beforeLines="50" w:line="360" w:lineRule="auto"/>
              <w:rPr>
                <w:b/>
                <w:bCs/>
                <w:color w:val="auto"/>
                <w:sz w:val="24"/>
              </w:rPr>
            </w:pPr>
            <w:r>
              <w:rPr>
                <w:b/>
                <w:bCs/>
                <w:color w:val="auto"/>
                <w:sz w:val="24"/>
              </w:rPr>
              <w:t>2、项目废水排放标准</w:t>
            </w:r>
          </w:p>
          <w:p>
            <w:pPr>
              <w:adjustRightInd w:val="0"/>
              <w:snapToGrid w:val="0"/>
              <w:spacing w:line="360" w:lineRule="auto"/>
              <w:ind w:firstLine="480" w:firstLineChars="200"/>
              <w:rPr>
                <w:b/>
                <w:bCs/>
                <w:color w:val="auto"/>
                <w:sz w:val="24"/>
              </w:rPr>
            </w:pPr>
            <w:r>
              <w:rPr>
                <w:color w:val="auto"/>
                <w:sz w:val="24"/>
              </w:rPr>
              <w:t>本项目无生产废水外排。不新增员工，不新增生活污水排放。施工期生活污水接管至常熟</w:t>
            </w:r>
            <w:r>
              <w:rPr>
                <w:rFonts w:hint="eastAsia"/>
                <w:color w:val="auto"/>
                <w:sz w:val="24"/>
              </w:rPr>
              <w:t>城东净水</w:t>
            </w:r>
            <w:r>
              <w:rPr>
                <w:color w:val="auto"/>
                <w:sz w:val="24"/>
              </w:rPr>
              <w:t>厂集中处理，达标排入</w:t>
            </w:r>
            <w:r>
              <w:rPr>
                <w:rFonts w:hint="eastAsia"/>
                <w:color w:val="auto"/>
                <w:sz w:val="24"/>
              </w:rPr>
              <w:t>白茆塘</w:t>
            </w:r>
            <w:r>
              <w:rPr>
                <w:color w:val="auto"/>
                <w:sz w:val="24"/>
              </w:rPr>
              <w:t>。</w:t>
            </w:r>
          </w:p>
          <w:p>
            <w:pPr>
              <w:jc w:val="center"/>
              <w:rPr>
                <w:b/>
                <w:bCs/>
                <w:color w:val="auto"/>
                <w:sz w:val="24"/>
              </w:rPr>
            </w:pPr>
            <w:r>
              <w:rPr>
                <w:b/>
                <w:bCs/>
                <w:color w:val="auto"/>
                <w:szCs w:val="21"/>
              </w:rPr>
              <w:t>表3-</w:t>
            </w:r>
            <w:r>
              <w:rPr>
                <w:rFonts w:hint="eastAsia"/>
                <w:b/>
                <w:bCs/>
                <w:color w:val="auto"/>
                <w:szCs w:val="21"/>
              </w:rPr>
              <w:t>5</w:t>
            </w:r>
            <w:r>
              <w:rPr>
                <w:b/>
                <w:bCs/>
                <w:color w:val="auto"/>
                <w:szCs w:val="21"/>
              </w:rPr>
              <w:t>废水污染物排放限值一览表</w:t>
            </w:r>
          </w:p>
          <w:tbl>
            <w:tblPr>
              <w:tblStyle w:val="20"/>
              <w:tblW w:w="7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1"/>
              <w:gridCol w:w="2760"/>
              <w:gridCol w:w="1530"/>
              <w:gridCol w:w="1125"/>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noWrap/>
                  <w:vAlign w:val="center"/>
                </w:tcPr>
                <w:p>
                  <w:pPr>
                    <w:adjustRightInd w:val="0"/>
                    <w:snapToGrid w:val="0"/>
                    <w:spacing w:beforeLines="50"/>
                    <w:jc w:val="center"/>
                    <w:rPr>
                      <w:b/>
                      <w:bCs/>
                      <w:color w:val="auto"/>
                      <w:szCs w:val="21"/>
                    </w:rPr>
                  </w:pPr>
                  <w:r>
                    <w:rPr>
                      <w:b/>
                      <w:bCs/>
                      <w:color w:val="auto"/>
                      <w:szCs w:val="21"/>
                    </w:rPr>
                    <w:t>排放口</w:t>
                  </w:r>
                </w:p>
              </w:tc>
              <w:tc>
                <w:tcPr>
                  <w:tcW w:w="2760" w:type="dxa"/>
                  <w:noWrap/>
                  <w:vAlign w:val="center"/>
                </w:tcPr>
                <w:p>
                  <w:pPr>
                    <w:adjustRightInd w:val="0"/>
                    <w:snapToGrid w:val="0"/>
                    <w:spacing w:beforeLines="50"/>
                    <w:jc w:val="center"/>
                    <w:rPr>
                      <w:b/>
                      <w:bCs/>
                      <w:color w:val="auto"/>
                      <w:szCs w:val="21"/>
                    </w:rPr>
                  </w:pPr>
                  <w:r>
                    <w:rPr>
                      <w:b/>
                      <w:bCs/>
                      <w:color w:val="auto"/>
                      <w:szCs w:val="21"/>
                    </w:rPr>
                    <w:t>执行标准</w:t>
                  </w:r>
                </w:p>
              </w:tc>
              <w:tc>
                <w:tcPr>
                  <w:tcW w:w="1530" w:type="dxa"/>
                  <w:noWrap/>
                  <w:vAlign w:val="center"/>
                </w:tcPr>
                <w:p>
                  <w:pPr>
                    <w:adjustRightInd w:val="0"/>
                    <w:snapToGrid w:val="0"/>
                    <w:spacing w:beforeLines="50"/>
                    <w:jc w:val="center"/>
                    <w:rPr>
                      <w:b/>
                      <w:bCs/>
                      <w:color w:val="auto"/>
                      <w:szCs w:val="21"/>
                    </w:rPr>
                  </w:pPr>
                  <w:r>
                    <w:rPr>
                      <w:b/>
                      <w:bCs/>
                      <w:color w:val="auto"/>
                      <w:szCs w:val="21"/>
                    </w:rPr>
                    <w:t>污染物指标</w:t>
                  </w:r>
                </w:p>
              </w:tc>
              <w:tc>
                <w:tcPr>
                  <w:tcW w:w="1125" w:type="dxa"/>
                  <w:noWrap/>
                  <w:vAlign w:val="center"/>
                </w:tcPr>
                <w:p>
                  <w:pPr>
                    <w:adjustRightInd w:val="0"/>
                    <w:snapToGrid w:val="0"/>
                    <w:spacing w:beforeLines="50"/>
                    <w:jc w:val="center"/>
                    <w:rPr>
                      <w:b/>
                      <w:bCs/>
                      <w:color w:val="auto"/>
                      <w:szCs w:val="21"/>
                    </w:rPr>
                  </w:pPr>
                  <w:r>
                    <w:rPr>
                      <w:b/>
                      <w:bCs/>
                      <w:color w:val="auto"/>
                      <w:szCs w:val="21"/>
                    </w:rPr>
                    <w:t>单位</w:t>
                  </w:r>
                </w:p>
              </w:tc>
              <w:tc>
                <w:tcPr>
                  <w:tcW w:w="1268" w:type="dxa"/>
                  <w:noWrap/>
                  <w:vAlign w:val="center"/>
                </w:tcPr>
                <w:p>
                  <w:pPr>
                    <w:adjustRightInd w:val="0"/>
                    <w:snapToGrid w:val="0"/>
                    <w:spacing w:beforeLines="50"/>
                    <w:jc w:val="center"/>
                    <w:rPr>
                      <w:b/>
                      <w:bCs/>
                      <w:color w:val="auto"/>
                      <w:szCs w:val="21"/>
                    </w:rPr>
                  </w:pPr>
                  <w:r>
                    <w:rPr>
                      <w:b/>
                      <w:bCs/>
                      <w:color w:val="auto"/>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restart"/>
                  <w:noWrap/>
                  <w:vAlign w:val="center"/>
                </w:tcPr>
                <w:p>
                  <w:pPr>
                    <w:jc w:val="center"/>
                    <w:rPr>
                      <w:color w:val="auto"/>
                      <w:szCs w:val="21"/>
                    </w:rPr>
                  </w:pPr>
                  <w:r>
                    <w:rPr>
                      <w:color w:val="auto"/>
                      <w:szCs w:val="21"/>
                    </w:rPr>
                    <w:t>项目排口</w:t>
                  </w:r>
                </w:p>
              </w:tc>
              <w:tc>
                <w:tcPr>
                  <w:tcW w:w="2760" w:type="dxa"/>
                  <w:vMerge w:val="restart"/>
                  <w:noWrap/>
                  <w:vAlign w:val="center"/>
                </w:tcPr>
                <w:p>
                  <w:pPr>
                    <w:jc w:val="center"/>
                    <w:rPr>
                      <w:color w:val="auto"/>
                    </w:rPr>
                  </w:pPr>
                  <w:r>
                    <w:rPr>
                      <w:color w:val="auto"/>
                      <w:spacing w:val="2"/>
                      <w:szCs w:val="21"/>
                    </w:rPr>
                    <w:t>常熟</w:t>
                  </w:r>
                  <w:r>
                    <w:rPr>
                      <w:rFonts w:hint="eastAsia"/>
                      <w:color w:val="auto"/>
                      <w:spacing w:val="2"/>
                      <w:szCs w:val="21"/>
                    </w:rPr>
                    <w:t>城东净水厂</w:t>
                  </w:r>
                  <w:r>
                    <w:rPr>
                      <w:color w:val="auto"/>
                    </w:rPr>
                    <w:t>接管限值</w:t>
                  </w:r>
                </w:p>
              </w:tc>
              <w:tc>
                <w:tcPr>
                  <w:tcW w:w="1530" w:type="dxa"/>
                  <w:noWrap/>
                  <w:vAlign w:val="center"/>
                </w:tcPr>
                <w:p>
                  <w:pPr>
                    <w:spacing w:before="106" w:line="194" w:lineRule="auto"/>
                    <w:jc w:val="center"/>
                    <w:rPr>
                      <w:color w:val="auto"/>
                      <w:szCs w:val="21"/>
                    </w:rPr>
                  </w:pPr>
                  <w:r>
                    <w:rPr>
                      <w:color w:val="auto"/>
                      <w:spacing w:val="6"/>
                      <w:szCs w:val="21"/>
                    </w:rPr>
                    <w:t>pH</w:t>
                  </w:r>
                </w:p>
              </w:tc>
              <w:tc>
                <w:tcPr>
                  <w:tcW w:w="1125" w:type="dxa"/>
                  <w:noWrap/>
                  <w:vAlign w:val="center"/>
                </w:tcPr>
                <w:p>
                  <w:pPr>
                    <w:jc w:val="center"/>
                    <w:rPr>
                      <w:b/>
                      <w:bCs/>
                      <w:color w:val="auto"/>
                      <w:szCs w:val="21"/>
                    </w:rPr>
                  </w:pPr>
                  <w:r>
                    <w:rPr>
                      <w:color w:val="auto"/>
                      <w:spacing w:val="7"/>
                      <w:szCs w:val="21"/>
                    </w:rPr>
                    <w:t>无</w:t>
                  </w:r>
                  <w:r>
                    <w:rPr>
                      <w:color w:val="auto"/>
                      <w:spacing w:val="6"/>
                      <w:szCs w:val="21"/>
                    </w:rPr>
                    <w:t>量纲</w:t>
                  </w:r>
                </w:p>
              </w:tc>
              <w:tc>
                <w:tcPr>
                  <w:tcW w:w="1268" w:type="dxa"/>
                  <w:noWrap/>
                  <w:vAlign w:val="center"/>
                </w:tcPr>
                <w:p>
                  <w:pPr>
                    <w:spacing w:before="103" w:line="195" w:lineRule="auto"/>
                    <w:jc w:val="center"/>
                    <w:rPr>
                      <w:color w:val="auto"/>
                      <w:szCs w:val="21"/>
                    </w:rPr>
                  </w:pPr>
                  <w:r>
                    <w:rPr>
                      <w:color w:val="auto"/>
                      <w:spacing w:val="2"/>
                      <w:szCs w:val="21"/>
                    </w:rPr>
                    <w:t>6~</w:t>
                  </w:r>
                  <w:r>
                    <w:rPr>
                      <w:color w:val="auto"/>
                      <w:spacing w:val="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color w:val="auto"/>
                      <w:szCs w:val="21"/>
                    </w:rPr>
                  </w:pPr>
                </w:p>
              </w:tc>
              <w:tc>
                <w:tcPr>
                  <w:tcW w:w="2760" w:type="dxa"/>
                  <w:vMerge w:val="continue"/>
                  <w:noWrap/>
                  <w:vAlign w:val="center"/>
                </w:tcPr>
                <w:p>
                  <w:pPr>
                    <w:jc w:val="center"/>
                    <w:rPr>
                      <w:color w:val="auto"/>
                    </w:rPr>
                  </w:pPr>
                </w:p>
              </w:tc>
              <w:tc>
                <w:tcPr>
                  <w:tcW w:w="1530" w:type="dxa"/>
                  <w:noWrap/>
                  <w:vAlign w:val="center"/>
                </w:tcPr>
                <w:p>
                  <w:pPr>
                    <w:spacing w:before="103" w:line="195" w:lineRule="auto"/>
                    <w:jc w:val="center"/>
                    <w:rPr>
                      <w:color w:val="auto"/>
                      <w:szCs w:val="21"/>
                    </w:rPr>
                  </w:pPr>
                  <w:r>
                    <w:rPr>
                      <w:color w:val="auto"/>
                      <w:spacing w:val="4"/>
                      <w:szCs w:val="21"/>
                    </w:rPr>
                    <w:t>CO</w:t>
                  </w:r>
                  <w:r>
                    <w:rPr>
                      <w:color w:val="auto"/>
                      <w:spacing w:val="3"/>
                      <w:szCs w:val="21"/>
                    </w:rPr>
                    <w:t>D</w:t>
                  </w:r>
                </w:p>
              </w:tc>
              <w:tc>
                <w:tcPr>
                  <w:tcW w:w="1125" w:type="dxa"/>
                  <w:vMerge w:val="restart"/>
                  <w:noWrap/>
                  <w:vAlign w:val="center"/>
                </w:tcPr>
                <w:p>
                  <w:pPr>
                    <w:jc w:val="center"/>
                    <w:rPr>
                      <w:b/>
                      <w:bCs/>
                      <w:color w:val="auto"/>
                      <w:szCs w:val="21"/>
                    </w:rPr>
                  </w:pPr>
                  <w:r>
                    <w:rPr>
                      <w:color w:val="auto"/>
                      <w:position w:val="4"/>
                      <w:szCs w:val="21"/>
                    </w:rPr>
                    <w:t>mg</w:t>
                  </w:r>
                  <w:r>
                    <w:rPr>
                      <w:color w:val="auto"/>
                      <w:spacing w:val="18"/>
                      <w:position w:val="4"/>
                      <w:szCs w:val="21"/>
                    </w:rPr>
                    <w:t>/</w:t>
                  </w:r>
                  <w:r>
                    <w:rPr>
                      <w:color w:val="auto"/>
                      <w:position w:val="4"/>
                      <w:szCs w:val="21"/>
                    </w:rPr>
                    <w:t>L</w:t>
                  </w:r>
                </w:p>
              </w:tc>
              <w:tc>
                <w:tcPr>
                  <w:tcW w:w="1268" w:type="dxa"/>
                  <w:noWrap/>
                  <w:vAlign w:val="center"/>
                </w:tcPr>
                <w:p>
                  <w:pPr>
                    <w:spacing w:before="103" w:line="195" w:lineRule="auto"/>
                    <w:jc w:val="center"/>
                    <w:rPr>
                      <w:color w:val="auto"/>
                      <w:szCs w:val="21"/>
                    </w:rPr>
                  </w:pPr>
                  <w:r>
                    <w:rPr>
                      <w:color w:val="auto"/>
                      <w:spacing w:val="2"/>
                      <w:szCs w:val="21"/>
                    </w:rPr>
                    <w:t>50</w:t>
                  </w:r>
                  <w:r>
                    <w:rPr>
                      <w:color w:val="auto"/>
                      <w:spacing w:val="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color w:val="auto"/>
                      <w:szCs w:val="21"/>
                    </w:rPr>
                  </w:pPr>
                </w:p>
              </w:tc>
              <w:tc>
                <w:tcPr>
                  <w:tcW w:w="2760" w:type="dxa"/>
                  <w:vMerge w:val="continue"/>
                  <w:noWrap/>
                  <w:vAlign w:val="center"/>
                </w:tcPr>
                <w:p>
                  <w:pPr>
                    <w:jc w:val="center"/>
                    <w:rPr>
                      <w:color w:val="auto"/>
                    </w:rPr>
                  </w:pPr>
                </w:p>
              </w:tc>
              <w:tc>
                <w:tcPr>
                  <w:tcW w:w="1530" w:type="dxa"/>
                  <w:noWrap/>
                  <w:vAlign w:val="center"/>
                </w:tcPr>
                <w:p>
                  <w:pPr>
                    <w:spacing w:before="102" w:line="195" w:lineRule="auto"/>
                    <w:jc w:val="center"/>
                    <w:rPr>
                      <w:color w:val="auto"/>
                      <w:szCs w:val="21"/>
                    </w:rPr>
                  </w:pPr>
                  <w:r>
                    <w:rPr>
                      <w:color w:val="auto"/>
                      <w:spacing w:val="-3"/>
                      <w:szCs w:val="21"/>
                    </w:rPr>
                    <w:t>S</w:t>
                  </w:r>
                  <w:r>
                    <w:rPr>
                      <w:color w:val="auto"/>
                      <w:spacing w:val="-2"/>
                      <w:szCs w:val="21"/>
                    </w:rPr>
                    <w:t>S</w:t>
                  </w:r>
                </w:p>
              </w:tc>
              <w:tc>
                <w:tcPr>
                  <w:tcW w:w="1125" w:type="dxa"/>
                  <w:vMerge w:val="continue"/>
                  <w:noWrap/>
                  <w:vAlign w:val="center"/>
                </w:tcPr>
                <w:p>
                  <w:pPr>
                    <w:jc w:val="center"/>
                    <w:rPr>
                      <w:b/>
                      <w:bCs/>
                      <w:color w:val="auto"/>
                      <w:szCs w:val="21"/>
                    </w:rPr>
                  </w:pPr>
                </w:p>
              </w:tc>
              <w:tc>
                <w:tcPr>
                  <w:tcW w:w="1268" w:type="dxa"/>
                  <w:noWrap/>
                  <w:vAlign w:val="center"/>
                </w:tcPr>
                <w:p>
                  <w:pPr>
                    <w:spacing w:before="102" w:line="195" w:lineRule="auto"/>
                    <w:jc w:val="center"/>
                    <w:rPr>
                      <w:color w:val="auto"/>
                      <w:szCs w:val="21"/>
                    </w:rPr>
                  </w:pPr>
                  <w:r>
                    <w:rPr>
                      <w:color w:val="auto"/>
                      <w:spacing w:val="5"/>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color w:val="auto"/>
                      <w:szCs w:val="21"/>
                    </w:rPr>
                  </w:pPr>
                </w:p>
              </w:tc>
              <w:tc>
                <w:tcPr>
                  <w:tcW w:w="2760" w:type="dxa"/>
                  <w:vMerge w:val="continue"/>
                  <w:noWrap/>
                  <w:vAlign w:val="center"/>
                </w:tcPr>
                <w:p>
                  <w:pPr>
                    <w:jc w:val="center"/>
                    <w:rPr>
                      <w:color w:val="auto"/>
                    </w:rPr>
                  </w:pPr>
                </w:p>
              </w:tc>
              <w:tc>
                <w:tcPr>
                  <w:tcW w:w="1530" w:type="dxa"/>
                  <w:noWrap/>
                  <w:vAlign w:val="center"/>
                </w:tcPr>
                <w:p>
                  <w:pPr>
                    <w:spacing w:before="66" w:line="224" w:lineRule="auto"/>
                    <w:jc w:val="center"/>
                    <w:rPr>
                      <w:color w:val="auto"/>
                      <w:szCs w:val="21"/>
                    </w:rPr>
                  </w:pPr>
                  <w:r>
                    <w:rPr>
                      <w:color w:val="auto"/>
                      <w:spacing w:val="5"/>
                      <w:szCs w:val="21"/>
                    </w:rPr>
                    <w:t>氨</w:t>
                  </w:r>
                  <w:r>
                    <w:rPr>
                      <w:color w:val="auto"/>
                      <w:spacing w:val="4"/>
                      <w:szCs w:val="21"/>
                    </w:rPr>
                    <w:t>氮</w:t>
                  </w:r>
                </w:p>
              </w:tc>
              <w:tc>
                <w:tcPr>
                  <w:tcW w:w="1125" w:type="dxa"/>
                  <w:vMerge w:val="continue"/>
                  <w:noWrap/>
                  <w:vAlign w:val="center"/>
                </w:tcPr>
                <w:p>
                  <w:pPr>
                    <w:jc w:val="center"/>
                    <w:rPr>
                      <w:b/>
                      <w:bCs/>
                      <w:color w:val="auto"/>
                      <w:szCs w:val="21"/>
                    </w:rPr>
                  </w:pPr>
                </w:p>
              </w:tc>
              <w:tc>
                <w:tcPr>
                  <w:tcW w:w="1268" w:type="dxa"/>
                  <w:noWrap/>
                  <w:vAlign w:val="center"/>
                </w:tcPr>
                <w:p>
                  <w:pPr>
                    <w:spacing w:before="102" w:line="195" w:lineRule="auto"/>
                    <w:jc w:val="center"/>
                    <w:rPr>
                      <w:color w:val="auto"/>
                      <w:szCs w:val="21"/>
                    </w:rPr>
                  </w:pPr>
                  <w:r>
                    <w:rPr>
                      <w:color w:val="auto"/>
                      <w:spacing w:val="1"/>
                      <w:szCs w:val="21"/>
                    </w:rPr>
                    <w:t>4</w:t>
                  </w:r>
                  <w:r>
                    <w:rPr>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color w:val="auto"/>
                      <w:szCs w:val="21"/>
                    </w:rPr>
                  </w:pPr>
                </w:p>
              </w:tc>
              <w:tc>
                <w:tcPr>
                  <w:tcW w:w="2760" w:type="dxa"/>
                  <w:vMerge w:val="continue"/>
                  <w:noWrap/>
                  <w:vAlign w:val="center"/>
                </w:tcPr>
                <w:p>
                  <w:pPr>
                    <w:jc w:val="center"/>
                    <w:rPr>
                      <w:color w:val="auto"/>
                    </w:rPr>
                  </w:pPr>
                </w:p>
              </w:tc>
              <w:tc>
                <w:tcPr>
                  <w:tcW w:w="1530" w:type="dxa"/>
                  <w:noWrap/>
                  <w:vAlign w:val="center"/>
                </w:tcPr>
                <w:p>
                  <w:pPr>
                    <w:spacing w:before="66" w:line="228" w:lineRule="auto"/>
                    <w:jc w:val="center"/>
                    <w:rPr>
                      <w:color w:val="auto"/>
                      <w:szCs w:val="21"/>
                    </w:rPr>
                  </w:pPr>
                  <w:r>
                    <w:rPr>
                      <w:color w:val="auto"/>
                      <w:spacing w:val="2"/>
                      <w:szCs w:val="21"/>
                    </w:rPr>
                    <w:t>总磷</w:t>
                  </w:r>
                </w:p>
              </w:tc>
              <w:tc>
                <w:tcPr>
                  <w:tcW w:w="1125" w:type="dxa"/>
                  <w:vMerge w:val="continue"/>
                  <w:noWrap/>
                  <w:vAlign w:val="center"/>
                </w:tcPr>
                <w:p>
                  <w:pPr>
                    <w:jc w:val="center"/>
                    <w:rPr>
                      <w:b/>
                      <w:bCs/>
                      <w:color w:val="auto"/>
                      <w:szCs w:val="21"/>
                    </w:rPr>
                  </w:pPr>
                </w:p>
              </w:tc>
              <w:tc>
                <w:tcPr>
                  <w:tcW w:w="1268" w:type="dxa"/>
                  <w:noWrap/>
                  <w:vAlign w:val="center"/>
                </w:tcPr>
                <w:p>
                  <w:pPr>
                    <w:spacing w:before="103" w:line="195" w:lineRule="auto"/>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color w:val="auto"/>
                      <w:szCs w:val="21"/>
                    </w:rPr>
                  </w:pPr>
                </w:p>
              </w:tc>
              <w:tc>
                <w:tcPr>
                  <w:tcW w:w="2760" w:type="dxa"/>
                  <w:vMerge w:val="continue"/>
                  <w:noWrap/>
                  <w:vAlign w:val="center"/>
                </w:tcPr>
                <w:p>
                  <w:pPr>
                    <w:jc w:val="center"/>
                    <w:rPr>
                      <w:color w:val="auto"/>
                    </w:rPr>
                  </w:pPr>
                </w:p>
              </w:tc>
              <w:tc>
                <w:tcPr>
                  <w:tcW w:w="1530" w:type="dxa"/>
                  <w:noWrap/>
                  <w:vAlign w:val="center"/>
                </w:tcPr>
                <w:p>
                  <w:pPr>
                    <w:spacing w:before="65" w:line="224" w:lineRule="auto"/>
                    <w:jc w:val="center"/>
                    <w:rPr>
                      <w:color w:val="auto"/>
                      <w:szCs w:val="21"/>
                    </w:rPr>
                  </w:pPr>
                  <w:r>
                    <w:rPr>
                      <w:color w:val="auto"/>
                      <w:spacing w:val="2"/>
                      <w:szCs w:val="21"/>
                    </w:rPr>
                    <w:t>总氮</w:t>
                  </w:r>
                </w:p>
              </w:tc>
              <w:tc>
                <w:tcPr>
                  <w:tcW w:w="1125" w:type="dxa"/>
                  <w:vMerge w:val="continue"/>
                  <w:noWrap/>
                  <w:vAlign w:val="center"/>
                </w:tcPr>
                <w:p>
                  <w:pPr>
                    <w:jc w:val="center"/>
                    <w:rPr>
                      <w:b/>
                      <w:bCs/>
                      <w:color w:val="auto"/>
                      <w:szCs w:val="21"/>
                    </w:rPr>
                  </w:pPr>
                </w:p>
              </w:tc>
              <w:tc>
                <w:tcPr>
                  <w:tcW w:w="1268" w:type="dxa"/>
                  <w:noWrap/>
                  <w:vAlign w:val="center"/>
                </w:tcPr>
                <w:p>
                  <w:pPr>
                    <w:spacing w:before="103" w:line="195" w:lineRule="auto"/>
                    <w:jc w:val="center"/>
                    <w:rPr>
                      <w:color w:val="auto"/>
                      <w:szCs w:val="21"/>
                    </w:rPr>
                  </w:pPr>
                  <w:r>
                    <w:rPr>
                      <w:color w:val="auto"/>
                      <w:spacing w:val="3"/>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restart"/>
                  <w:noWrap/>
                  <w:vAlign w:val="center"/>
                </w:tcPr>
                <w:p>
                  <w:pPr>
                    <w:jc w:val="center"/>
                    <w:rPr>
                      <w:color w:val="auto"/>
                      <w:szCs w:val="21"/>
                    </w:rPr>
                  </w:pPr>
                  <w:r>
                    <w:rPr>
                      <w:color w:val="auto"/>
                      <w:szCs w:val="21"/>
                    </w:rPr>
                    <w:t>污水厂排口</w:t>
                  </w:r>
                </w:p>
              </w:tc>
              <w:tc>
                <w:tcPr>
                  <w:tcW w:w="2760" w:type="dxa"/>
                  <w:vMerge w:val="restart"/>
                  <w:noWrap/>
                  <w:vAlign w:val="center"/>
                </w:tcPr>
                <w:p>
                  <w:pPr>
                    <w:jc w:val="center"/>
                    <w:rPr>
                      <w:color w:val="auto"/>
                    </w:rPr>
                  </w:pPr>
                  <w:r>
                    <w:rPr>
                      <w:rFonts w:hint="eastAsia"/>
                      <w:color w:val="auto"/>
                    </w:rPr>
                    <w:t>《城镇污水处理厂污染物排放标准》（DB32/4440-2022）</w:t>
                  </w:r>
                  <w:r>
                    <w:rPr>
                      <w:color w:val="auto"/>
                    </w:rPr>
                    <w:t>表</w:t>
                  </w:r>
                  <w:r>
                    <w:rPr>
                      <w:rFonts w:hint="eastAsia"/>
                      <w:color w:val="auto"/>
                    </w:rPr>
                    <w:t>1中C</w:t>
                  </w:r>
                  <w:r>
                    <w:rPr>
                      <w:color w:val="auto"/>
                    </w:rPr>
                    <w:t>标准</w:t>
                  </w:r>
                </w:p>
              </w:tc>
              <w:tc>
                <w:tcPr>
                  <w:tcW w:w="1530" w:type="dxa"/>
                  <w:noWrap/>
                  <w:vAlign w:val="center"/>
                </w:tcPr>
                <w:p>
                  <w:pPr>
                    <w:spacing w:before="106" w:line="194" w:lineRule="auto"/>
                    <w:jc w:val="center"/>
                    <w:rPr>
                      <w:color w:val="auto"/>
                      <w:szCs w:val="21"/>
                    </w:rPr>
                  </w:pPr>
                  <w:r>
                    <w:rPr>
                      <w:color w:val="auto"/>
                      <w:spacing w:val="6"/>
                      <w:szCs w:val="21"/>
                    </w:rPr>
                    <w:t>pH</w:t>
                  </w:r>
                </w:p>
              </w:tc>
              <w:tc>
                <w:tcPr>
                  <w:tcW w:w="1125" w:type="dxa"/>
                  <w:noWrap/>
                  <w:vAlign w:val="center"/>
                </w:tcPr>
                <w:p>
                  <w:pPr>
                    <w:jc w:val="center"/>
                    <w:rPr>
                      <w:b/>
                      <w:bCs/>
                      <w:color w:val="auto"/>
                      <w:szCs w:val="21"/>
                    </w:rPr>
                  </w:pPr>
                  <w:r>
                    <w:rPr>
                      <w:color w:val="auto"/>
                      <w:spacing w:val="7"/>
                      <w:szCs w:val="21"/>
                    </w:rPr>
                    <w:t>无</w:t>
                  </w:r>
                  <w:r>
                    <w:rPr>
                      <w:color w:val="auto"/>
                      <w:spacing w:val="6"/>
                      <w:szCs w:val="21"/>
                    </w:rPr>
                    <w:t>量纲</w:t>
                  </w:r>
                </w:p>
              </w:tc>
              <w:tc>
                <w:tcPr>
                  <w:tcW w:w="1268" w:type="dxa"/>
                  <w:noWrap/>
                  <w:vAlign w:val="center"/>
                </w:tcPr>
                <w:p>
                  <w:pPr>
                    <w:spacing w:before="103" w:line="195" w:lineRule="auto"/>
                    <w:jc w:val="center"/>
                    <w:rPr>
                      <w:color w:val="auto"/>
                      <w:szCs w:val="21"/>
                    </w:rPr>
                  </w:pPr>
                  <w:r>
                    <w:rPr>
                      <w:color w:val="auto"/>
                      <w:spacing w:val="2"/>
                      <w:szCs w:val="21"/>
                    </w:rPr>
                    <w:t>6~</w:t>
                  </w:r>
                  <w:r>
                    <w:rPr>
                      <w:color w:val="auto"/>
                      <w:spacing w:val="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b/>
                      <w:bCs/>
                      <w:color w:val="auto"/>
                      <w:szCs w:val="21"/>
                    </w:rPr>
                  </w:pPr>
                </w:p>
              </w:tc>
              <w:tc>
                <w:tcPr>
                  <w:tcW w:w="2760" w:type="dxa"/>
                  <w:vMerge w:val="continue"/>
                  <w:noWrap/>
                  <w:vAlign w:val="center"/>
                </w:tcPr>
                <w:p>
                  <w:pPr>
                    <w:jc w:val="center"/>
                    <w:rPr>
                      <w:color w:val="auto"/>
                    </w:rPr>
                  </w:pPr>
                </w:p>
              </w:tc>
              <w:tc>
                <w:tcPr>
                  <w:tcW w:w="1530" w:type="dxa"/>
                  <w:noWrap/>
                  <w:vAlign w:val="center"/>
                </w:tcPr>
                <w:p>
                  <w:pPr>
                    <w:spacing w:before="104" w:line="195" w:lineRule="auto"/>
                    <w:jc w:val="center"/>
                    <w:rPr>
                      <w:color w:val="auto"/>
                      <w:szCs w:val="21"/>
                    </w:rPr>
                  </w:pPr>
                  <w:r>
                    <w:rPr>
                      <w:color w:val="auto"/>
                      <w:spacing w:val="-3"/>
                      <w:szCs w:val="21"/>
                    </w:rPr>
                    <w:t>S</w:t>
                  </w:r>
                  <w:r>
                    <w:rPr>
                      <w:color w:val="auto"/>
                      <w:spacing w:val="-2"/>
                      <w:szCs w:val="21"/>
                    </w:rPr>
                    <w:t>S</w:t>
                  </w:r>
                </w:p>
              </w:tc>
              <w:tc>
                <w:tcPr>
                  <w:tcW w:w="1125" w:type="dxa"/>
                  <w:vMerge w:val="restart"/>
                  <w:noWrap/>
                  <w:vAlign w:val="center"/>
                </w:tcPr>
                <w:p>
                  <w:pPr>
                    <w:jc w:val="center"/>
                    <w:rPr>
                      <w:b/>
                      <w:bCs/>
                      <w:color w:val="auto"/>
                      <w:szCs w:val="21"/>
                    </w:rPr>
                  </w:pPr>
                  <w:r>
                    <w:rPr>
                      <w:color w:val="auto"/>
                      <w:position w:val="4"/>
                      <w:szCs w:val="21"/>
                    </w:rPr>
                    <w:t>mg</w:t>
                  </w:r>
                  <w:r>
                    <w:rPr>
                      <w:color w:val="auto"/>
                      <w:spacing w:val="18"/>
                      <w:position w:val="4"/>
                      <w:szCs w:val="21"/>
                    </w:rPr>
                    <w:t>/</w:t>
                  </w:r>
                  <w:r>
                    <w:rPr>
                      <w:color w:val="auto"/>
                      <w:position w:val="4"/>
                      <w:szCs w:val="21"/>
                    </w:rPr>
                    <w:t>L</w:t>
                  </w:r>
                </w:p>
              </w:tc>
              <w:tc>
                <w:tcPr>
                  <w:tcW w:w="1268" w:type="dxa"/>
                  <w:noWrap/>
                  <w:vAlign w:val="center"/>
                </w:tcPr>
                <w:p>
                  <w:pPr>
                    <w:spacing w:before="104" w:line="195" w:lineRule="auto"/>
                    <w:jc w:val="center"/>
                    <w:rPr>
                      <w:color w:val="auto"/>
                      <w:szCs w:val="21"/>
                    </w:rPr>
                  </w:pPr>
                  <w:r>
                    <w:rPr>
                      <w:color w:val="auto"/>
                      <w:spacing w:val="-8"/>
                      <w:szCs w:val="21"/>
                    </w:rPr>
                    <w:t>1</w:t>
                  </w:r>
                  <w:r>
                    <w:rPr>
                      <w:color w:val="auto"/>
                      <w:spacing w:val="-7"/>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b/>
                      <w:bCs/>
                      <w:color w:val="auto"/>
                      <w:szCs w:val="21"/>
                    </w:rPr>
                  </w:pPr>
                </w:p>
              </w:tc>
              <w:tc>
                <w:tcPr>
                  <w:tcW w:w="2760" w:type="dxa"/>
                  <w:vMerge w:val="restart"/>
                  <w:noWrap/>
                  <w:vAlign w:val="center"/>
                </w:tcPr>
                <w:p>
                  <w:pPr>
                    <w:pStyle w:val="6"/>
                    <w:jc w:val="center"/>
                    <w:rPr>
                      <w:color w:val="auto"/>
                    </w:rPr>
                  </w:pPr>
                  <w:r>
                    <w:rPr>
                      <w:rFonts w:hint="eastAsia"/>
                      <w:color w:val="auto"/>
                      <w:kern w:val="2"/>
                      <w:sz w:val="21"/>
                      <w:szCs w:val="24"/>
                    </w:rPr>
                    <w:t>市政府关于印发《常熟市高质量推进城乡生活污水治理三年行动计划实施方(2018~2020)》的通知(常政发[2019126号)附件1苏州特别排放限值标准</w:t>
                  </w:r>
                </w:p>
              </w:tc>
              <w:tc>
                <w:tcPr>
                  <w:tcW w:w="1530" w:type="dxa"/>
                  <w:noWrap/>
                  <w:vAlign w:val="center"/>
                </w:tcPr>
                <w:p>
                  <w:pPr>
                    <w:spacing w:before="102" w:line="195" w:lineRule="auto"/>
                    <w:jc w:val="center"/>
                    <w:rPr>
                      <w:color w:val="auto"/>
                      <w:szCs w:val="21"/>
                    </w:rPr>
                  </w:pPr>
                  <w:r>
                    <w:rPr>
                      <w:color w:val="auto"/>
                      <w:spacing w:val="4"/>
                      <w:szCs w:val="21"/>
                    </w:rPr>
                    <w:t>CO</w:t>
                  </w:r>
                  <w:r>
                    <w:rPr>
                      <w:color w:val="auto"/>
                      <w:spacing w:val="3"/>
                      <w:szCs w:val="21"/>
                    </w:rPr>
                    <w:t>D</w:t>
                  </w:r>
                </w:p>
              </w:tc>
              <w:tc>
                <w:tcPr>
                  <w:tcW w:w="1125" w:type="dxa"/>
                  <w:vMerge w:val="continue"/>
                  <w:noWrap/>
                  <w:vAlign w:val="center"/>
                </w:tcPr>
                <w:p>
                  <w:pPr>
                    <w:jc w:val="center"/>
                    <w:rPr>
                      <w:b/>
                      <w:bCs/>
                      <w:color w:val="auto"/>
                      <w:szCs w:val="21"/>
                    </w:rPr>
                  </w:pPr>
                </w:p>
              </w:tc>
              <w:tc>
                <w:tcPr>
                  <w:tcW w:w="1268" w:type="dxa"/>
                  <w:noWrap/>
                  <w:vAlign w:val="center"/>
                </w:tcPr>
                <w:p>
                  <w:pPr>
                    <w:spacing w:before="102" w:line="195" w:lineRule="auto"/>
                    <w:jc w:val="center"/>
                    <w:rPr>
                      <w:color w:val="auto"/>
                      <w:szCs w:val="21"/>
                    </w:rPr>
                  </w:pPr>
                  <w:r>
                    <w:rPr>
                      <w:rFonts w:hint="eastAsia"/>
                      <w:color w:val="auto"/>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b/>
                      <w:bCs/>
                      <w:color w:val="auto"/>
                      <w:szCs w:val="21"/>
                    </w:rPr>
                  </w:pPr>
                </w:p>
              </w:tc>
              <w:tc>
                <w:tcPr>
                  <w:tcW w:w="2760" w:type="dxa"/>
                  <w:vMerge w:val="continue"/>
                  <w:noWrap/>
                  <w:vAlign w:val="center"/>
                </w:tcPr>
                <w:p>
                  <w:pPr>
                    <w:jc w:val="center"/>
                    <w:rPr>
                      <w:b/>
                      <w:bCs/>
                      <w:color w:val="auto"/>
                      <w:szCs w:val="21"/>
                    </w:rPr>
                  </w:pPr>
                </w:p>
              </w:tc>
              <w:tc>
                <w:tcPr>
                  <w:tcW w:w="1530" w:type="dxa"/>
                  <w:noWrap/>
                  <w:vAlign w:val="center"/>
                </w:tcPr>
                <w:p>
                  <w:pPr>
                    <w:spacing w:before="67" w:line="224" w:lineRule="auto"/>
                    <w:jc w:val="center"/>
                    <w:rPr>
                      <w:color w:val="auto"/>
                      <w:szCs w:val="21"/>
                    </w:rPr>
                  </w:pPr>
                  <w:r>
                    <w:rPr>
                      <w:color w:val="auto"/>
                      <w:spacing w:val="5"/>
                      <w:szCs w:val="21"/>
                    </w:rPr>
                    <w:t>氨</w:t>
                  </w:r>
                  <w:r>
                    <w:rPr>
                      <w:color w:val="auto"/>
                      <w:spacing w:val="4"/>
                      <w:szCs w:val="21"/>
                    </w:rPr>
                    <w:t>氮</w:t>
                  </w:r>
                </w:p>
              </w:tc>
              <w:tc>
                <w:tcPr>
                  <w:tcW w:w="1125" w:type="dxa"/>
                  <w:vMerge w:val="continue"/>
                  <w:noWrap/>
                  <w:vAlign w:val="center"/>
                </w:tcPr>
                <w:p>
                  <w:pPr>
                    <w:jc w:val="center"/>
                    <w:rPr>
                      <w:b/>
                      <w:bCs/>
                      <w:color w:val="auto"/>
                      <w:szCs w:val="21"/>
                    </w:rPr>
                  </w:pPr>
                </w:p>
              </w:tc>
              <w:tc>
                <w:tcPr>
                  <w:tcW w:w="1268" w:type="dxa"/>
                  <w:noWrap/>
                  <w:vAlign w:val="center"/>
                </w:tcPr>
                <w:p>
                  <w:pPr>
                    <w:spacing w:before="66" w:line="231" w:lineRule="auto"/>
                    <w:jc w:val="center"/>
                    <w:rPr>
                      <w:color w:val="auto"/>
                      <w:szCs w:val="21"/>
                    </w:rPr>
                  </w:pPr>
                  <w:r>
                    <w:rPr>
                      <w:rFonts w:hint="eastAsia"/>
                      <w:color w:val="auto"/>
                      <w:spacing w:val="4"/>
                      <w:szCs w:val="21"/>
                    </w:rPr>
                    <w:t>1.5</w:t>
                  </w:r>
                  <w:r>
                    <w:rPr>
                      <w:color w:val="auto"/>
                      <w:spacing w:val="2"/>
                      <w:szCs w:val="21"/>
                    </w:rPr>
                    <w:t>（</w:t>
                  </w:r>
                  <w:r>
                    <w:rPr>
                      <w:rFonts w:hint="eastAsia"/>
                      <w:color w:val="auto"/>
                      <w:spacing w:val="2"/>
                      <w:szCs w:val="21"/>
                    </w:rPr>
                    <w:t>3</w:t>
                  </w:r>
                  <w:r>
                    <w:rPr>
                      <w:color w:val="auto"/>
                      <w:spacing w:val="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b/>
                      <w:bCs/>
                      <w:color w:val="auto"/>
                      <w:szCs w:val="21"/>
                    </w:rPr>
                  </w:pPr>
                </w:p>
              </w:tc>
              <w:tc>
                <w:tcPr>
                  <w:tcW w:w="2760" w:type="dxa"/>
                  <w:vMerge w:val="continue"/>
                  <w:noWrap/>
                  <w:vAlign w:val="center"/>
                </w:tcPr>
                <w:p>
                  <w:pPr>
                    <w:jc w:val="center"/>
                    <w:rPr>
                      <w:b/>
                      <w:bCs/>
                      <w:color w:val="auto"/>
                      <w:szCs w:val="21"/>
                    </w:rPr>
                  </w:pPr>
                </w:p>
              </w:tc>
              <w:tc>
                <w:tcPr>
                  <w:tcW w:w="1530" w:type="dxa"/>
                  <w:noWrap/>
                  <w:vAlign w:val="center"/>
                </w:tcPr>
                <w:p>
                  <w:pPr>
                    <w:spacing w:before="64" w:line="228" w:lineRule="auto"/>
                    <w:jc w:val="center"/>
                    <w:rPr>
                      <w:color w:val="auto"/>
                      <w:szCs w:val="21"/>
                    </w:rPr>
                  </w:pPr>
                  <w:r>
                    <w:rPr>
                      <w:color w:val="auto"/>
                      <w:spacing w:val="2"/>
                      <w:szCs w:val="21"/>
                    </w:rPr>
                    <w:t>总磷</w:t>
                  </w:r>
                </w:p>
              </w:tc>
              <w:tc>
                <w:tcPr>
                  <w:tcW w:w="1125" w:type="dxa"/>
                  <w:vMerge w:val="continue"/>
                  <w:noWrap/>
                  <w:vAlign w:val="center"/>
                </w:tcPr>
                <w:p>
                  <w:pPr>
                    <w:jc w:val="center"/>
                    <w:rPr>
                      <w:b/>
                      <w:bCs/>
                      <w:color w:val="auto"/>
                      <w:szCs w:val="21"/>
                    </w:rPr>
                  </w:pPr>
                </w:p>
              </w:tc>
              <w:tc>
                <w:tcPr>
                  <w:tcW w:w="1268" w:type="dxa"/>
                  <w:noWrap/>
                  <w:vAlign w:val="center"/>
                </w:tcPr>
                <w:p>
                  <w:pPr>
                    <w:spacing w:before="103" w:line="195" w:lineRule="auto"/>
                    <w:jc w:val="center"/>
                    <w:rPr>
                      <w:color w:val="auto"/>
                      <w:szCs w:val="21"/>
                    </w:rPr>
                  </w:pPr>
                  <w:r>
                    <w:rPr>
                      <w:color w:val="auto"/>
                      <w:spacing w:val="4"/>
                      <w:szCs w:val="21"/>
                    </w:rPr>
                    <w:t>0</w:t>
                  </w:r>
                  <w:r>
                    <w:rPr>
                      <w:color w:val="auto"/>
                      <w:spacing w:val="3"/>
                      <w:szCs w:val="21"/>
                    </w:rPr>
                    <w:t>.</w:t>
                  </w:r>
                  <w:r>
                    <w:rPr>
                      <w:rFonts w:hint="eastAsia"/>
                      <w:color w:val="auto"/>
                      <w:spacing w:val="3"/>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91" w:type="dxa"/>
                  <w:vMerge w:val="continue"/>
                  <w:noWrap/>
                  <w:vAlign w:val="center"/>
                </w:tcPr>
                <w:p>
                  <w:pPr>
                    <w:jc w:val="center"/>
                    <w:rPr>
                      <w:b/>
                      <w:bCs/>
                      <w:color w:val="auto"/>
                      <w:szCs w:val="21"/>
                    </w:rPr>
                  </w:pPr>
                </w:p>
              </w:tc>
              <w:tc>
                <w:tcPr>
                  <w:tcW w:w="2760" w:type="dxa"/>
                  <w:vMerge w:val="continue"/>
                  <w:noWrap/>
                  <w:vAlign w:val="center"/>
                </w:tcPr>
                <w:p>
                  <w:pPr>
                    <w:jc w:val="center"/>
                    <w:rPr>
                      <w:b/>
                      <w:bCs/>
                      <w:color w:val="auto"/>
                      <w:szCs w:val="21"/>
                    </w:rPr>
                  </w:pPr>
                </w:p>
              </w:tc>
              <w:tc>
                <w:tcPr>
                  <w:tcW w:w="1530" w:type="dxa"/>
                  <w:noWrap/>
                  <w:vAlign w:val="center"/>
                </w:tcPr>
                <w:p>
                  <w:pPr>
                    <w:spacing w:before="65" w:line="224" w:lineRule="auto"/>
                    <w:jc w:val="center"/>
                    <w:rPr>
                      <w:color w:val="auto"/>
                      <w:szCs w:val="21"/>
                    </w:rPr>
                  </w:pPr>
                  <w:r>
                    <w:rPr>
                      <w:color w:val="auto"/>
                      <w:spacing w:val="2"/>
                      <w:szCs w:val="21"/>
                    </w:rPr>
                    <w:t>总氮</w:t>
                  </w:r>
                </w:p>
              </w:tc>
              <w:tc>
                <w:tcPr>
                  <w:tcW w:w="1125" w:type="dxa"/>
                  <w:vMerge w:val="continue"/>
                  <w:noWrap/>
                  <w:vAlign w:val="center"/>
                </w:tcPr>
                <w:p>
                  <w:pPr>
                    <w:jc w:val="center"/>
                    <w:rPr>
                      <w:b/>
                      <w:bCs/>
                      <w:color w:val="auto"/>
                      <w:szCs w:val="21"/>
                    </w:rPr>
                  </w:pPr>
                </w:p>
              </w:tc>
              <w:tc>
                <w:tcPr>
                  <w:tcW w:w="1268" w:type="dxa"/>
                  <w:noWrap/>
                  <w:vAlign w:val="center"/>
                </w:tcPr>
                <w:p>
                  <w:pPr>
                    <w:spacing w:before="65" w:line="231" w:lineRule="auto"/>
                    <w:jc w:val="center"/>
                    <w:rPr>
                      <w:color w:val="auto"/>
                      <w:szCs w:val="21"/>
                    </w:rPr>
                  </w:pPr>
                  <w:r>
                    <w:rPr>
                      <w:rFonts w:hint="eastAsia"/>
                      <w:color w:val="auto"/>
                      <w:spacing w:val="1"/>
                      <w:szCs w:val="21"/>
                    </w:rPr>
                    <w:t>10</w:t>
                  </w:r>
                </w:p>
              </w:tc>
            </w:tr>
          </w:tbl>
          <w:p>
            <w:pPr>
              <w:spacing w:line="360" w:lineRule="auto"/>
              <w:rPr>
                <w:color w:val="auto"/>
                <w:szCs w:val="21"/>
              </w:rPr>
            </w:pPr>
            <w:r>
              <w:rPr>
                <w:color w:val="auto"/>
                <w:szCs w:val="21"/>
              </w:rPr>
              <w:t>注：括号外数值为水温＞12℃时的控制指标，括号内数值为水温≤12℃时的控制指标。</w:t>
            </w:r>
          </w:p>
          <w:p>
            <w:pPr>
              <w:spacing w:line="360" w:lineRule="auto"/>
              <w:rPr>
                <w:b/>
                <w:bCs/>
                <w:color w:val="auto"/>
                <w:sz w:val="24"/>
              </w:rPr>
            </w:pPr>
            <w:r>
              <w:rPr>
                <w:b/>
                <w:bCs/>
                <w:color w:val="auto"/>
                <w:sz w:val="24"/>
              </w:rPr>
              <w:t>3、项目噪声排放标准</w:t>
            </w:r>
          </w:p>
          <w:p>
            <w:pPr>
              <w:widowControl/>
              <w:spacing w:line="360" w:lineRule="auto"/>
              <w:ind w:firstLine="480" w:firstLineChars="200"/>
              <w:jc w:val="left"/>
              <w:rPr>
                <w:color w:val="auto"/>
                <w:kern w:val="0"/>
                <w:sz w:val="24"/>
              </w:rPr>
            </w:pPr>
            <w:r>
              <w:rPr>
                <w:color w:val="auto"/>
                <w:kern w:val="0"/>
                <w:sz w:val="24"/>
              </w:rPr>
              <w:t>本项目厂界噪声排放执行《工业企业厂界环境噪声标准》（GB12348-2008）3类标准</w:t>
            </w:r>
            <w:r>
              <w:rPr>
                <w:rFonts w:hint="eastAsia"/>
                <w:color w:val="auto"/>
                <w:kern w:val="0"/>
                <w:sz w:val="24"/>
              </w:rPr>
              <w:t>，施工期噪声执行</w:t>
            </w:r>
            <w:r>
              <w:rPr>
                <w:color w:val="auto"/>
                <w:kern w:val="0"/>
                <w:sz w:val="24"/>
              </w:rPr>
              <w:t>《建筑施工场界环境噪声排放标准》（GB12523-2011）</w:t>
            </w:r>
            <w:r>
              <w:rPr>
                <w:rFonts w:hint="eastAsia"/>
                <w:color w:val="auto"/>
                <w:kern w:val="0"/>
                <w:sz w:val="24"/>
              </w:rPr>
              <w:t>。</w:t>
            </w:r>
          </w:p>
          <w:p>
            <w:pPr>
              <w:jc w:val="center"/>
              <w:rPr>
                <w:b/>
                <w:bCs/>
                <w:color w:val="auto"/>
                <w:szCs w:val="21"/>
              </w:rPr>
            </w:pPr>
            <w:r>
              <w:rPr>
                <w:b/>
                <w:bCs/>
                <w:color w:val="auto"/>
                <w:szCs w:val="21"/>
              </w:rPr>
              <w:t>表3-</w:t>
            </w:r>
            <w:r>
              <w:rPr>
                <w:rFonts w:hint="eastAsia"/>
                <w:b/>
                <w:bCs/>
                <w:color w:val="auto"/>
                <w:szCs w:val="21"/>
              </w:rPr>
              <w:t>6</w:t>
            </w:r>
            <w:r>
              <w:rPr>
                <w:b/>
                <w:bCs/>
                <w:color w:val="auto"/>
                <w:szCs w:val="21"/>
              </w:rPr>
              <w:t>厂界噪声排放标准</w:t>
            </w:r>
          </w:p>
          <w:tbl>
            <w:tblPr>
              <w:tblStyle w:val="20"/>
              <w:tblW w:w="7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2809"/>
              <w:gridCol w:w="959"/>
              <w:gridCol w:w="914"/>
              <w:gridCol w:w="987"/>
              <w:gridCol w:w="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059" w:type="dxa"/>
                  <w:vMerge w:val="restart"/>
                  <w:noWrap/>
                  <w:vAlign w:val="center"/>
                </w:tcPr>
                <w:p>
                  <w:pPr>
                    <w:pStyle w:val="2"/>
                    <w:snapToGrid w:val="0"/>
                    <w:spacing w:beforeLines="50"/>
                    <w:jc w:val="center"/>
                    <w:outlineLvl w:val="2"/>
                    <w:rPr>
                      <w:rFonts w:ascii="Times New Roman" w:hAnsi="Times New Roman"/>
                      <w:bCs w:val="0"/>
                      <w:color w:val="auto"/>
                      <w:sz w:val="21"/>
                      <w:szCs w:val="21"/>
                    </w:rPr>
                  </w:pPr>
                  <w:r>
                    <w:rPr>
                      <w:rFonts w:ascii="Times New Roman" w:hAnsi="Times New Roman"/>
                      <w:bCs w:val="0"/>
                      <w:color w:val="auto"/>
                      <w:sz w:val="21"/>
                      <w:szCs w:val="21"/>
                    </w:rPr>
                    <w:t>区域名</w:t>
                  </w:r>
                </w:p>
              </w:tc>
              <w:tc>
                <w:tcPr>
                  <w:tcW w:w="2809" w:type="dxa"/>
                  <w:vMerge w:val="restart"/>
                  <w:noWrap/>
                  <w:vAlign w:val="center"/>
                </w:tcPr>
                <w:p>
                  <w:pPr>
                    <w:pStyle w:val="2"/>
                    <w:snapToGrid w:val="0"/>
                    <w:spacing w:beforeLines="50"/>
                    <w:jc w:val="center"/>
                    <w:outlineLvl w:val="2"/>
                    <w:rPr>
                      <w:rFonts w:ascii="Times New Roman" w:hAnsi="Times New Roman"/>
                      <w:bCs w:val="0"/>
                      <w:color w:val="auto"/>
                      <w:sz w:val="21"/>
                      <w:szCs w:val="21"/>
                    </w:rPr>
                  </w:pPr>
                  <w:r>
                    <w:rPr>
                      <w:rFonts w:ascii="Times New Roman" w:hAnsi="Times New Roman"/>
                      <w:bCs w:val="0"/>
                      <w:color w:val="auto"/>
                      <w:sz w:val="21"/>
                      <w:szCs w:val="21"/>
                    </w:rPr>
                    <w:t>执行标准</w:t>
                  </w:r>
                </w:p>
              </w:tc>
              <w:tc>
                <w:tcPr>
                  <w:tcW w:w="959" w:type="dxa"/>
                  <w:vMerge w:val="restart"/>
                  <w:noWrap/>
                  <w:vAlign w:val="center"/>
                </w:tcPr>
                <w:p>
                  <w:pPr>
                    <w:pStyle w:val="2"/>
                    <w:snapToGrid w:val="0"/>
                    <w:spacing w:beforeLines="50"/>
                    <w:jc w:val="center"/>
                    <w:outlineLvl w:val="2"/>
                    <w:rPr>
                      <w:rFonts w:ascii="Times New Roman" w:hAnsi="Times New Roman"/>
                      <w:bCs w:val="0"/>
                      <w:color w:val="auto"/>
                      <w:sz w:val="21"/>
                      <w:szCs w:val="21"/>
                    </w:rPr>
                  </w:pPr>
                  <w:r>
                    <w:rPr>
                      <w:rFonts w:ascii="Times New Roman" w:hAnsi="Times New Roman"/>
                      <w:bCs w:val="0"/>
                      <w:color w:val="auto"/>
                      <w:sz w:val="21"/>
                      <w:szCs w:val="21"/>
                    </w:rPr>
                    <w:t>级别</w:t>
                  </w:r>
                </w:p>
              </w:tc>
              <w:tc>
                <w:tcPr>
                  <w:tcW w:w="914" w:type="dxa"/>
                  <w:vMerge w:val="restart"/>
                  <w:noWrap/>
                  <w:vAlign w:val="center"/>
                </w:tcPr>
                <w:p>
                  <w:pPr>
                    <w:pStyle w:val="2"/>
                    <w:snapToGrid w:val="0"/>
                    <w:spacing w:beforeLines="50"/>
                    <w:jc w:val="center"/>
                    <w:outlineLvl w:val="2"/>
                    <w:rPr>
                      <w:rFonts w:ascii="Times New Roman" w:hAnsi="Times New Roman"/>
                      <w:bCs w:val="0"/>
                      <w:color w:val="auto"/>
                      <w:sz w:val="21"/>
                      <w:szCs w:val="21"/>
                    </w:rPr>
                  </w:pPr>
                  <w:r>
                    <w:rPr>
                      <w:rFonts w:ascii="Times New Roman" w:hAnsi="Times New Roman"/>
                      <w:bCs w:val="0"/>
                      <w:color w:val="auto"/>
                      <w:sz w:val="21"/>
                      <w:szCs w:val="21"/>
                    </w:rPr>
                    <w:t>单位</w:t>
                  </w:r>
                </w:p>
              </w:tc>
              <w:tc>
                <w:tcPr>
                  <w:tcW w:w="1969" w:type="dxa"/>
                  <w:gridSpan w:val="2"/>
                  <w:noWrap/>
                  <w:vAlign w:val="center"/>
                </w:tcPr>
                <w:p>
                  <w:pPr>
                    <w:widowControl/>
                    <w:jc w:val="center"/>
                    <w:rPr>
                      <w:color w:val="auto"/>
                      <w:szCs w:val="21"/>
                    </w:rPr>
                  </w:pPr>
                  <w:r>
                    <w:rPr>
                      <w:color w:val="auto"/>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059" w:type="dxa"/>
                  <w:vMerge w:val="continue"/>
                  <w:noWrap/>
                  <w:vAlign w:val="center"/>
                </w:tcPr>
                <w:p>
                  <w:pPr>
                    <w:pStyle w:val="2"/>
                    <w:snapToGrid w:val="0"/>
                    <w:spacing w:beforeLines="50"/>
                    <w:jc w:val="center"/>
                    <w:outlineLvl w:val="2"/>
                    <w:rPr>
                      <w:rFonts w:ascii="Times New Roman" w:hAnsi="Times New Roman"/>
                      <w:bCs w:val="0"/>
                      <w:color w:val="auto"/>
                      <w:sz w:val="21"/>
                      <w:szCs w:val="21"/>
                    </w:rPr>
                  </w:pPr>
                </w:p>
              </w:tc>
              <w:tc>
                <w:tcPr>
                  <w:tcW w:w="2809" w:type="dxa"/>
                  <w:vMerge w:val="continue"/>
                  <w:noWrap/>
                  <w:vAlign w:val="center"/>
                </w:tcPr>
                <w:p>
                  <w:pPr>
                    <w:pStyle w:val="2"/>
                    <w:snapToGrid w:val="0"/>
                    <w:spacing w:beforeLines="50"/>
                    <w:jc w:val="center"/>
                    <w:outlineLvl w:val="2"/>
                    <w:rPr>
                      <w:rFonts w:ascii="Times New Roman" w:hAnsi="Times New Roman"/>
                      <w:bCs w:val="0"/>
                      <w:color w:val="auto"/>
                      <w:sz w:val="21"/>
                      <w:szCs w:val="21"/>
                    </w:rPr>
                  </w:pPr>
                </w:p>
              </w:tc>
              <w:tc>
                <w:tcPr>
                  <w:tcW w:w="959" w:type="dxa"/>
                  <w:vMerge w:val="continue"/>
                  <w:noWrap/>
                  <w:vAlign w:val="center"/>
                </w:tcPr>
                <w:p>
                  <w:pPr>
                    <w:pStyle w:val="2"/>
                    <w:snapToGrid w:val="0"/>
                    <w:spacing w:beforeLines="50"/>
                    <w:jc w:val="center"/>
                    <w:outlineLvl w:val="2"/>
                    <w:rPr>
                      <w:rFonts w:ascii="Times New Roman" w:hAnsi="Times New Roman"/>
                      <w:bCs w:val="0"/>
                      <w:color w:val="auto"/>
                      <w:sz w:val="21"/>
                      <w:szCs w:val="21"/>
                    </w:rPr>
                  </w:pPr>
                </w:p>
              </w:tc>
              <w:tc>
                <w:tcPr>
                  <w:tcW w:w="914" w:type="dxa"/>
                  <w:vMerge w:val="continue"/>
                  <w:noWrap/>
                  <w:vAlign w:val="center"/>
                </w:tcPr>
                <w:p>
                  <w:pPr>
                    <w:pStyle w:val="2"/>
                    <w:snapToGrid w:val="0"/>
                    <w:spacing w:beforeLines="50"/>
                    <w:jc w:val="center"/>
                    <w:outlineLvl w:val="2"/>
                    <w:rPr>
                      <w:rFonts w:ascii="Times New Roman" w:hAnsi="Times New Roman"/>
                      <w:bCs w:val="0"/>
                      <w:color w:val="auto"/>
                      <w:sz w:val="21"/>
                      <w:szCs w:val="21"/>
                    </w:rPr>
                  </w:pPr>
                </w:p>
              </w:tc>
              <w:tc>
                <w:tcPr>
                  <w:tcW w:w="987" w:type="dxa"/>
                  <w:noWrap/>
                  <w:vAlign w:val="center"/>
                </w:tcPr>
                <w:p>
                  <w:pPr>
                    <w:pStyle w:val="2"/>
                    <w:snapToGrid w:val="0"/>
                    <w:spacing w:beforeLines="50"/>
                    <w:jc w:val="center"/>
                    <w:outlineLvl w:val="2"/>
                    <w:rPr>
                      <w:rFonts w:ascii="Times New Roman" w:hAnsi="Times New Roman"/>
                      <w:bCs w:val="0"/>
                      <w:color w:val="auto"/>
                      <w:sz w:val="21"/>
                      <w:szCs w:val="21"/>
                    </w:rPr>
                  </w:pPr>
                  <w:r>
                    <w:rPr>
                      <w:rFonts w:ascii="Times New Roman" w:hAnsi="Times New Roman"/>
                      <w:bCs w:val="0"/>
                      <w:color w:val="auto"/>
                      <w:sz w:val="21"/>
                      <w:szCs w:val="21"/>
                    </w:rPr>
                    <w:t>昼间</w:t>
                  </w:r>
                </w:p>
              </w:tc>
              <w:tc>
                <w:tcPr>
                  <w:tcW w:w="982" w:type="dxa"/>
                  <w:noWrap/>
                  <w:vAlign w:val="center"/>
                </w:tcPr>
                <w:p>
                  <w:pPr>
                    <w:pStyle w:val="2"/>
                    <w:snapToGrid w:val="0"/>
                    <w:spacing w:beforeLines="50"/>
                    <w:jc w:val="center"/>
                    <w:outlineLvl w:val="2"/>
                    <w:rPr>
                      <w:rFonts w:ascii="Times New Roman" w:hAnsi="Times New Roman"/>
                      <w:bCs w:val="0"/>
                      <w:color w:val="auto"/>
                      <w:sz w:val="21"/>
                      <w:szCs w:val="21"/>
                    </w:rPr>
                  </w:pPr>
                  <w:r>
                    <w:rPr>
                      <w:rFonts w:ascii="Times New Roman" w:hAnsi="Times New Roman"/>
                      <w:bCs w:val="0"/>
                      <w:color w:val="auto"/>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dxa"/>
                  <w:noWrap/>
                  <w:vAlign w:val="center"/>
                </w:tcPr>
                <w:p>
                  <w:pPr>
                    <w:jc w:val="center"/>
                    <w:rPr>
                      <w:color w:val="auto"/>
                      <w:szCs w:val="21"/>
                    </w:rPr>
                  </w:pPr>
                  <w:r>
                    <w:rPr>
                      <w:color w:val="auto"/>
                      <w:szCs w:val="21"/>
                    </w:rPr>
                    <w:t>厂界外1m</w:t>
                  </w:r>
                </w:p>
              </w:tc>
              <w:tc>
                <w:tcPr>
                  <w:tcW w:w="2809" w:type="dxa"/>
                  <w:noWrap/>
                  <w:vAlign w:val="center"/>
                </w:tcPr>
                <w:p>
                  <w:pPr>
                    <w:jc w:val="center"/>
                    <w:rPr>
                      <w:color w:val="auto"/>
                      <w:szCs w:val="21"/>
                    </w:rPr>
                  </w:pPr>
                  <w:r>
                    <w:rPr>
                      <w:color w:val="auto"/>
                      <w:kern w:val="0"/>
                      <w:szCs w:val="21"/>
                    </w:rPr>
                    <w:t>《工业企业厂界环境噪声排放标准》（GB12348-2008）</w:t>
                  </w:r>
                </w:p>
              </w:tc>
              <w:tc>
                <w:tcPr>
                  <w:tcW w:w="959" w:type="dxa"/>
                  <w:noWrap/>
                  <w:vAlign w:val="center"/>
                </w:tcPr>
                <w:p>
                  <w:pPr>
                    <w:spacing w:line="264" w:lineRule="auto"/>
                    <w:jc w:val="center"/>
                    <w:rPr>
                      <w:color w:val="auto"/>
                      <w:szCs w:val="21"/>
                    </w:rPr>
                  </w:pPr>
                  <w:r>
                    <w:rPr>
                      <w:color w:val="auto"/>
                      <w:szCs w:val="21"/>
                    </w:rPr>
                    <w:t>表1</w:t>
                  </w:r>
                </w:p>
                <w:p>
                  <w:pPr>
                    <w:spacing w:line="264" w:lineRule="auto"/>
                    <w:jc w:val="center"/>
                    <w:rPr>
                      <w:color w:val="auto"/>
                      <w:szCs w:val="21"/>
                    </w:rPr>
                  </w:pPr>
                  <w:r>
                    <w:rPr>
                      <w:color w:val="auto"/>
                      <w:szCs w:val="21"/>
                    </w:rPr>
                    <w:t>3类</w:t>
                  </w:r>
                </w:p>
              </w:tc>
              <w:tc>
                <w:tcPr>
                  <w:tcW w:w="914" w:type="dxa"/>
                  <w:noWrap/>
                  <w:vAlign w:val="center"/>
                </w:tcPr>
                <w:p>
                  <w:pPr>
                    <w:spacing w:line="264" w:lineRule="auto"/>
                    <w:jc w:val="center"/>
                    <w:rPr>
                      <w:color w:val="auto"/>
                      <w:szCs w:val="21"/>
                    </w:rPr>
                  </w:pPr>
                  <w:r>
                    <w:rPr>
                      <w:color w:val="auto"/>
                      <w:kern w:val="0"/>
                      <w:szCs w:val="21"/>
                    </w:rPr>
                    <w:t>dB（A）</w:t>
                  </w:r>
                </w:p>
              </w:tc>
              <w:tc>
                <w:tcPr>
                  <w:tcW w:w="987" w:type="dxa"/>
                  <w:noWrap/>
                  <w:vAlign w:val="center"/>
                </w:tcPr>
                <w:p>
                  <w:pPr>
                    <w:jc w:val="center"/>
                    <w:rPr>
                      <w:color w:val="auto"/>
                      <w:szCs w:val="21"/>
                    </w:rPr>
                  </w:pPr>
                  <w:r>
                    <w:rPr>
                      <w:color w:val="auto"/>
                      <w:szCs w:val="21"/>
                    </w:rPr>
                    <w:t>65</w:t>
                  </w:r>
                </w:p>
              </w:tc>
              <w:tc>
                <w:tcPr>
                  <w:tcW w:w="982" w:type="dxa"/>
                  <w:noWrap/>
                  <w:vAlign w:val="center"/>
                </w:tcPr>
                <w:p>
                  <w:pPr>
                    <w:jc w:val="center"/>
                    <w:rPr>
                      <w:color w:val="auto"/>
                      <w:szCs w:val="21"/>
                    </w:rPr>
                  </w:pPr>
                  <w:r>
                    <w:rPr>
                      <w:color w:val="auto"/>
                      <w:szCs w:val="21"/>
                    </w:rPr>
                    <w:t>55</w:t>
                  </w:r>
                </w:p>
              </w:tc>
            </w:tr>
          </w:tbl>
          <w:p>
            <w:pPr>
              <w:pStyle w:val="2"/>
              <w:spacing w:line="240" w:lineRule="auto"/>
              <w:jc w:val="center"/>
              <w:rPr>
                <w:rFonts w:ascii="Times New Roman" w:hAnsi="Times New Roman"/>
                <w:b/>
                <w:bCs w:val="0"/>
                <w:color w:val="auto"/>
                <w:kern w:val="0"/>
                <w:sz w:val="24"/>
                <w:szCs w:val="24"/>
              </w:rPr>
            </w:pPr>
            <w:r>
              <w:rPr>
                <w:rFonts w:ascii="Times New Roman" w:hAnsi="Times New Roman"/>
                <w:b/>
                <w:bCs w:val="0"/>
                <w:color w:val="auto"/>
                <w:kern w:val="0"/>
                <w:sz w:val="21"/>
                <w:szCs w:val="21"/>
              </w:rPr>
              <w:t>表3</w:t>
            </w:r>
            <w:r>
              <w:rPr>
                <w:rFonts w:hint="eastAsia" w:ascii="Times New Roman" w:hAnsi="Times New Roman"/>
                <w:b/>
                <w:bCs w:val="0"/>
                <w:color w:val="auto"/>
                <w:kern w:val="0"/>
                <w:sz w:val="21"/>
                <w:szCs w:val="21"/>
              </w:rPr>
              <w:t>-7</w:t>
            </w:r>
            <w:r>
              <w:rPr>
                <w:rFonts w:ascii="Times New Roman" w:hAnsi="Times New Roman"/>
                <w:b/>
                <w:bCs w:val="0"/>
                <w:color w:val="auto"/>
                <w:kern w:val="0"/>
                <w:sz w:val="21"/>
                <w:szCs w:val="21"/>
              </w:rPr>
              <w:t>建筑施工场界噪声排放限值</w:t>
            </w:r>
          </w:p>
          <w:tbl>
            <w:tblPr>
              <w:tblStyle w:val="20"/>
              <w:tblW w:w="7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8"/>
              <w:gridCol w:w="2823"/>
              <w:gridCol w:w="902"/>
              <w:gridCol w:w="941"/>
              <w:gridCol w:w="982"/>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058" w:type="dxa"/>
                  <w:vMerge w:val="restart"/>
                  <w:vAlign w:val="center"/>
                </w:tcPr>
                <w:p>
                  <w:pPr>
                    <w:spacing w:line="264" w:lineRule="auto"/>
                    <w:jc w:val="center"/>
                    <w:rPr>
                      <w:color w:val="auto"/>
                      <w:szCs w:val="21"/>
                    </w:rPr>
                  </w:pPr>
                  <w:r>
                    <w:rPr>
                      <w:color w:val="auto"/>
                      <w:szCs w:val="21"/>
                    </w:rPr>
                    <w:t>厂界名</w:t>
                  </w:r>
                </w:p>
              </w:tc>
              <w:tc>
                <w:tcPr>
                  <w:tcW w:w="2823" w:type="dxa"/>
                  <w:vMerge w:val="restart"/>
                  <w:vAlign w:val="center"/>
                </w:tcPr>
                <w:p>
                  <w:pPr>
                    <w:spacing w:line="264" w:lineRule="auto"/>
                    <w:jc w:val="center"/>
                    <w:rPr>
                      <w:color w:val="auto"/>
                      <w:szCs w:val="21"/>
                    </w:rPr>
                  </w:pPr>
                  <w:r>
                    <w:rPr>
                      <w:color w:val="auto"/>
                      <w:szCs w:val="21"/>
                    </w:rPr>
                    <w:t>执行标准</w:t>
                  </w:r>
                </w:p>
              </w:tc>
              <w:tc>
                <w:tcPr>
                  <w:tcW w:w="902" w:type="dxa"/>
                  <w:vMerge w:val="restart"/>
                  <w:vAlign w:val="center"/>
                </w:tcPr>
                <w:p>
                  <w:pPr>
                    <w:spacing w:line="264" w:lineRule="auto"/>
                    <w:jc w:val="center"/>
                    <w:rPr>
                      <w:color w:val="auto"/>
                      <w:szCs w:val="21"/>
                    </w:rPr>
                  </w:pPr>
                  <w:r>
                    <w:rPr>
                      <w:color w:val="auto"/>
                      <w:szCs w:val="21"/>
                    </w:rPr>
                    <w:t>级别</w:t>
                  </w:r>
                </w:p>
              </w:tc>
              <w:tc>
                <w:tcPr>
                  <w:tcW w:w="941" w:type="dxa"/>
                  <w:vMerge w:val="restart"/>
                  <w:vAlign w:val="center"/>
                </w:tcPr>
                <w:p>
                  <w:pPr>
                    <w:spacing w:line="264" w:lineRule="auto"/>
                    <w:jc w:val="center"/>
                    <w:rPr>
                      <w:color w:val="auto"/>
                      <w:szCs w:val="21"/>
                    </w:rPr>
                  </w:pPr>
                  <w:r>
                    <w:rPr>
                      <w:color w:val="auto"/>
                      <w:szCs w:val="21"/>
                    </w:rPr>
                    <w:t>单位</w:t>
                  </w:r>
                </w:p>
              </w:tc>
              <w:tc>
                <w:tcPr>
                  <w:tcW w:w="1971" w:type="dxa"/>
                  <w:gridSpan w:val="2"/>
                  <w:vAlign w:val="center"/>
                </w:tcPr>
                <w:p>
                  <w:pPr>
                    <w:spacing w:line="264" w:lineRule="auto"/>
                    <w:jc w:val="center"/>
                    <w:rPr>
                      <w:color w:val="auto"/>
                      <w:szCs w:val="21"/>
                    </w:rPr>
                  </w:pPr>
                  <w:r>
                    <w:rPr>
                      <w:color w:val="auto"/>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058" w:type="dxa"/>
                  <w:vMerge w:val="continue"/>
                  <w:vAlign w:val="center"/>
                </w:tcPr>
                <w:p>
                  <w:pPr>
                    <w:spacing w:line="264" w:lineRule="auto"/>
                    <w:jc w:val="center"/>
                    <w:rPr>
                      <w:color w:val="auto"/>
                      <w:szCs w:val="21"/>
                    </w:rPr>
                  </w:pPr>
                </w:p>
              </w:tc>
              <w:tc>
                <w:tcPr>
                  <w:tcW w:w="2823" w:type="dxa"/>
                  <w:vMerge w:val="continue"/>
                  <w:vAlign w:val="center"/>
                </w:tcPr>
                <w:p>
                  <w:pPr>
                    <w:spacing w:line="264" w:lineRule="auto"/>
                    <w:jc w:val="center"/>
                    <w:rPr>
                      <w:color w:val="auto"/>
                      <w:szCs w:val="21"/>
                    </w:rPr>
                  </w:pPr>
                </w:p>
              </w:tc>
              <w:tc>
                <w:tcPr>
                  <w:tcW w:w="902" w:type="dxa"/>
                  <w:vMerge w:val="continue"/>
                  <w:vAlign w:val="center"/>
                </w:tcPr>
                <w:p>
                  <w:pPr>
                    <w:spacing w:line="264" w:lineRule="auto"/>
                    <w:jc w:val="center"/>
                    <w:rPr>
                      <w:color w:val="auto"/>
                      <w:szCs w:val="21"/>
                    </w:rPr>
                  </w:pPr>
                </w:p>
              </w:tc>
              <w:tc>
                <w:tcPr>
                  <w:tcW w:w="941" w:type="dxa"/>
                  <w:vMerge w:val="continue"/>
                  <w:vAlign w:val="center"/>
                </w:tcPr>
                <w:p>
                  <w:pPr>
                    <w:spacing w:line="264" w:lineRule="auto"/>
                    <w:jc w:val="center"/>
                    <w:rPr>
                      <w:color w:val="auto"/>
                      <w:szCs w:val="21"/>
                    </w:rPr>
                  </w:pPr>
                </w:p>
              </w:tc>
              <w:tc>
                <w:tcPr>
                  <w:tcW w:w="982" w:type="dxa"/>
                  <w:vAlign w:val="center"/>
                </w:tcPr>
                <w:p>
                  <w:pPr>
                    <w:pStyle w:val="2"/>
                    <w:keepNext w:val="0"/>
                    <w:keepLines w:val="0"/>
                    <w:adjustRightInd/>
                    <w:spacing w:beforeLines="50" w:line="264" w:lineRule="auto"/>
                    <w:jc w:val="center"/>
                    <w:outlineLvl w:val="2"/>
                    <w:rPr>
                      <w:rFonts w:ascii="Times New Roman" w:hAnsi="Times New Roman"/>
                      <w:color w:val="auto"/>
                      <w:sz w:val="21"/>
                      <w:szCs w:val="21"/>
                    </w:rPr>
                  </w:pPr>
                  <w:r>
                    <w:rPr>
                      <w:rFonts w:ascii="Times New Roman" w:hAnsi="Times New Roman"/>
                      <w:bCs w:val="0"/>
                      <w:color w:val="auto"/>
                      <w:sz w:val="21"/>
                      <w:szCs w:val="21"/>
                    </w:rPr>
                    <w:t>昼间</w:t>
                  </w:r>
                </w:p>
              </w:tc>
              <w:tc>
                <w:tcPr>
                  <w:tcW w:w="989" w:type="dxa"/>
                  <w:vAlign w:val="center"/>
                </w:tcPr>
                <w:p>
                  <w:pPr>
                    <w:pStyle w:val="2"/>
                    <w:keepNext w:val="0"/>
                    <w:keepLines w:val="0"/>
                    <w:adjustRightInd/>
                    <w:spacing w:beforeLines="50" w:line="264" w:lineRule="auto"/>
                    <w:jc w:val="center"/>
                    <w:outlineLvl w:val="2"/>
                    <w:rPr>
                      <w:rFonts w:ascii="Times New Roman" w:hAnsi="Times New Roman"/>
                      <w:color w:val="auto"/>
                      <w:sz w:val="21"/>
                      <w:szCs w:val="21"/>
                    </w:rPr>
                  </w:pPr>
                  <w:r>
                    <w:rPr>
                      <w:rFonts w:ascii="Times New Roman" w:hAnsi="Times New Roman"/>
                      <w:bCs w:val="0"/>
                      <w:color w:val="auto"/>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58" w:type="dxa"/>
                  <w:vAlign w:val="center"/>
                </w:tcPr>
                <w:p>
                  <w:pPr>
                    <w:spacing w:line="264" w:lineRule="auto"/>
                    <w:jc w:val="center"/>
                    <w:rPr>
                      <w:color w:val="auto"/>
                      <w:szCs w:val="21"/>
                    </w:rPr>
                  </w:pPr>
                  <w:r>
                    <w:rPr>
                      <w:color w:val="auto"/>
                      <w:szCs w:val="21"/>
                    </w:rPr>
                    <w:t>施工场界</w:t>
                  </w:r>
                </w:p>
              </w:tc>
              <w:tc>
                <w:tcPr>
                  <w:tcW w:w="2823" w:type="dxa"/>
                  <w:vAlign w:val="center"/>
                </w:tcPr>
                <w:p>
                  <w:pPr>
                    <w:widowControl/>
                    <w:spacing w:line="264" w:lineRule="auto"/>
                    <w:jc w:val="center"/>
                    <w:rPr>
                      <w:color w:val="auto"/>
                      <w:szCs w:val="21"/>
                    </w:rPr>
                  </w:pPr>
                  <w:r>
                    <w:rPr>
                      <w:color w:val="auto"/>
                      <w:kern w:val="0"/>
                      <w:szCs w:val="21"/>
                    </w:rPr>
                    <w:t>《建筑施工场界环境噪声排放标准》（GB12523-2011）</w:t>
                  </w:r>
                </w:p>
                <w:p>
                  <w:pPr>
                    <w:spacing w:line="264" w:lineRule="auto"/>
                    <w:jc w:val="center"/>
                    <w:rPr>
                      <w:color w:val="auto"/>
                      <w:szCs w:val="21"/>
                    </w:rPr>
                  </w:pPr>
                </w:p>
              </w:tc>
              <w:tc>
                <w:tcPr>
                  <w:tcW w:w="902" w:type="dxa"/>
                  <w:vAlign w:val="center"/>
                </w:tcPr>
                <w:p>
                  <w:pPr>
                    <w:spacing w:line="264" w:lineRule="auto"/>
                    <w:jc w:val="center"/>
                    <w:rPr>
                      <w:color w:val="auto"/>
                      <w:szCs w:val="21"/>
                    </w:rPr>
                  </w:pPr>
                  <w:r>
                    <w:rPr>
                      <w:color w:val="auto"/>
                      <w:szCs w:val="21"/>
                    </w:rPr>
                    <w:t>表1</w:t>
                  </w:r>
                </w:p>
              </w:tc>
              <w:tc>
                <w:tcPr>
                  <w:tcW w:w="941" w:type="dxa"/>
                  <w:vAlign w:val="center"/>
                </w:tcPr>
                <w:p>
                  <w:pPr>
                    <w:spacing w:line="264" w:lineRule="auto"/>
                    <w:jc w:val="center"/>
                    <w:rPr>
                      <w:color w:val="auto"/>
                      <w:szCs w:val="21"/>
                    </w:rPr>
                  </w:pPr>
                  <w:r>
                    <w:rPr>
                      <w:color w:val="auto"/>
                      <w:kern w:val="0"/>
                      <w:szCs w:val="21"/>
                    </w:rPr>
                    <w:t>dB（A）</w:t>
                  </w:r>
                </w:p>
              </w:tc>
              <w:tc>
                <w:tcPr>
                  <w:tcW w:w="982" w:type="dxa"/>
                  <w:vAlign w:val="center"/>
                </w:tcPr>
                <w:p>
                  <w:pPr>
                    <w:spacing w:line="264" w:lineRule="auto"/>
                    <w:jc w:val="center"/>
                    <w:rPr>
                      <w:color w:val="auto"/>
                      <w:szCs w:val="21"/>
                    </w:rPr>
                  </w:pPr>
                  <w:r>
                    <w:rPr>
                      <w:color w:val="auto"/>
                      <w:szCs w:val="21"/>
                    </w:rPr>
                    <w:t>70</w:t>
                  </w:r>
                </w:p>
              </w:tc>
              <w:tc>
                <w:tcPr>
                  <w:tcW w:w="989" w:type="dxa"/>
                  <w:vAlign w:val="center"/>
                </w:tcPr>
                <w:p>
                  <w:pPr>
                    <w:spacing w:line="264" w:lineRule="auto"/>
                    <w:jc w:val="center"/>
                    <w:rPr>
                      <w:color w:val="auto"/>
                      <w:szCs w:val="21"/>
                    </w:rPr>
                  </w:pPr>
                  <w:r>
                    <w:rPr>
                      <w:color w:val="auto"/>
                      <w:szCs w:val="21"/>
                    </w:rPr>
                    <w:t>55</w:t>
                  </w:r>
                </w:p>
              </w:tc>
            </w:tr>
          </w:tbl>
          <w:p>
            <w:pPr>
              <w:pStyle w:val="2"/>
              <w:spacing w:beforeLines="50"/>
              <w:rPr>
                <w:rFonts w:ascii="Times New Roman" w:hAnsi="Times New Roman"/>
                <w:b/>
                <w:bCs w:val="0"/>
                <w:color w:val="auto"/>
                <w:sz w:val="24"/>
                <w:szCs w:val="24"/>
              </w:rPr>
            </w:pPr>
            <w:r>
              <w:rPr>
                <w:rFonts w:ascii="Times New Roman" w:hAnsi="Times New Roman"/>
                <w:b/>
                <w:bCs w:val="0"/>
                <w:color w:val="auto"/>
                <w:sz w:val="24"/>
                <w:szCs w:val="24"/>
              </w:rPr>
              <w:t>4、项目固体废物标准</w:t>
            </w:r>
          </w:p>
          <w:p>
            <w:pPr>
              <w:adjustRightInd w:val="0"/>
              <w:snapToGrid w:val="0"/>
              <w:spacing w:line="360" w:lineRule="auto"/>
              <w:ind w:firstLine="480" w:firstLineChars="200"/>
              <w:rPr>
                <w:color w:val="auto"/>
              </w:rPr>
            </w:pPr>
            <w:r>
              <w:rPr>
                <w:rFonts w:hint="eastAsia"/>
                <w:color w:val="auto"/>
                <w:sz w:val="24"/>
              </w:rPr>
              <w:t>固</w:t>
            </w:r>
            <w:r>
              <w:rPr>
                <w:color w:val="auto"/>
                <w:sz w:val="24"/>
              </w:rPr>
              <w:t>体废物严格按照《中华人民共和国固体废物污染环境防治法》和《江苏省固体废物污染环境防治条例》，一般固废贮存及处置执行《一般工业固体废物贮存和填埋污染控制标准》（GB18599-2020）中相关标准，危险废物贮存执行《危险废物贮存污染控制标准》（GB18597-2023）的要求。危险废物的管理执行《省生态环境厅关于印发江苏省危险废物贮存规范化管理专项整治专项行动方案的通知》（苏环办[2019]149号）、《</w:t>
            </w:r>
            <w:r>
              <w:rPr>
                <w:rFonts w:hint="eastAsia"/>
                <w:color w:val="auto"/>
                <w:sz w:val="24"/>
                <w:lang w:eastAsia="zh-CN"/>
              </w:rPr>
              <w:t>江苏省固体废物全过程环境监管工作意见</w:t>
            </w:r>
            <w:r>
              <w:rPr>
                <w:color w:val="auto"/>
                <w:sz w:val="24"/>
              </w:rPr>
              <w:t>》（苏环办[20</w:t>
            </w:r>
            <w:r>
              <w:rPr>
                <w:rFonts w:hint="eastAsia"/>
                <w:color w:val="auto"/>
                <w:sz w:val="24"/>
                <w:lang w:val="en-US" w:eastAsia="zh-CN"/>
              </w:rPr>
              <w:t>24]16</w:t>
            </w:r>
            <w:r>
              <w:rPr>
                <w:color w:val="auto"/>
                <w:sz w:val="24"/>
              </w:rPr>
              <w:t>号）要求。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1" w:hRule="atLeast"/>
          <w:jc w:val="center"/>
        </w:trPr>
        <w:tc>
          <w:tcPr>
            <w:tcW w:w="282" w:type="pct"/>
            <w:tcBorders>
              <w:bottom w:val="single" w:color="auto" w:sz="4" w:space="0"/>
            </w:tcBorders>
            <w:noWrap/>
            <w:vAlign w:val="center"/>
          </w:tcPr>
          <w:p>
            <w:pPr>
              <w:adjustRightInd w:val="0"/>
              <w:snapToGrid w:val="0"/>
              <w:jc w:val="center"/>
              <w:rPr>
                <w:color w:val="auto"/>
                <w:kern w:val="0"/>
                <w:sz w:val="24"/>
              </w:rPr>
            </w:pPr>
            <w:r>
              <w:rPr>
                <w:color w:val="auto"/>
                <w:sz w:val="24"/>
                <w:szCs w:val="32"/>
              </w:rPr>
              <w:t>总量控制指标</w:t>
            </w:r>
          </w:p>
        </w:tc>
        <w:tc>
          <w:tcPr>
            <w:tcW w:w="4717" w:type="pct"/>
            <w:tcBorders>
              <w:bottom w:val="single" w:color="auto" w:sz="4" w:space="0"/>
            </w:tcBorders>
            <w:noWrap/>
          </w:tcPr>
          <w:p>
            <w:pPr>
              <w:spacing w:beforeLines="50" w:line="360" w:lineRule="auto"/>
              <w:rPr>
                <w:b/>
                <w:bCs/>
                <w:color w:val="auto"/>
                <w:sz w:val="24"/>
                <w:szCs w:val="32"/>
              </w:rPr>
            </w:pPr>
            <w:r>
              <w:rPr>
                <w:b/>
                <w:bCs/>
                <w:color w:val="auto"/>
                <w:sz w:val="24"/>
                <w:szCs w:val="32"/>
              </w:rPr>
              <w:t>1、总量控制因子</w:t>
            </w:r>
          </w:p>
          <w:p>
            <w:pPr>
              <w:adjustRightInd w:val="0"/>
              <w:snapToGrid w:val="0"/>
              <w:spacing w:line="360" w:lineRule="auto"/>
              <w:ind w:firstLine="480" w:firstLineChars="200"/>
              <w:rPr>
                <w:color w:val="auto"/>
                <w:sz w:val="24"/>
              </w:rPr>
            </w:pPr>
            <w:r>
              <w:rPr>
                <w:rFonts w:ascii="宋体" w:hAnsi="宋体" w:cs="宋体"/>
                <w:color w:val="auto"/>
                <w:sz w:val="24"/>
              </w:rPr>
              <w:t>按照国家和省总量控制的规定，结合本项目排污特征，确定本项目总量控制因子</w:t>
            </w:r>
            <w:r>
              <w:rPr>
                <w:color w:val="auto"/>
                <w:sz w:val="24"/>
                <w:szCs w:val="32"/>
              </w:rPr>
              <w:t>。</w:t>
            </w:r>
          </w:p>
        </w:tc>
      </w:tr>
    </w:tbl>
    <w:p>
      <w:pPr>
        <w:adjustRightInd w:val="0"/>
        <w:snapToGrid w:val="0"/>
        <w:jc w:val="center"/>
        <w:rPr>
          <w:color w:val="auto"/>
        </w:rPr>
        <w:sectPr>
          <w:pgSz w:w="11907" w:h="16840"/>
          <w:pgMar w:top="1701" w:right="1531" w:bottom="2127" w:left="1531" w:header="851" w:footer="851" w:gutter="0"/>
          <w:cols w:space="720" w:num="1"/>
          <w:docGrid w:linePitch="312" w:charSpace="0"/>
        </w:sect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2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1" w:hRule="atLeast"/>
        </w:trPr>
        <w:tc>
          <w:tcPr>
            <w:tcW w:w="667" w:type="dxa"/>
            <w:noWrap/>
            <w:vAlign w:val="center"/>
          </w:tcPr>
          <w:p>
            <w:pPr>
              <w:pStyle w:val="2"/>
              <w:jc w:val="center"/>
              <w:outlineLvl w:val="2"/>
              <w:rPr>
                <w:rFonts w:ascii="Times New Roman" w:hAnsi="Times New Roman"/>
                <w:color w:val="auto"/>
              </w:rPr>
            </w:pPr>
            <w:r>
              <w:rPr>
                <w:rFonts w:ascii="Times New Roman" w:hAnsi="Times New Roman"/>
                <w:bCs w:val="0"/>
                <w:color w:val="auto"/>
                <w:sz w:val="24"/>
                <w:szCs w:val="32"/>
              </w:rPr>
              <w:t>总量控制指标</w:t>
            </w:r>
          </w:p>
        </w:tc>
        <w:tc>
          <w:tcPr>
            <w:tcW w:w="12561" w:type="dxa"/>
            <w:noWrap/>
          </w:tcPr>
          <w:p>
            <w:pPr>
              <w:pStyle w:val="2"/>
              <w:outlineLvl w:val="2"/>
              <w:rPr>
                <w:rFonts w:ascii="Times New Roman" w:hAnsi="Times New Roman"/>
                <w:color w:val="auto"/>
                <w:sz w:val="24"/>
                <w:szCs w:val="18"/>
              </w:rPr>
            </w:pPr>
            <w:r>
              <w:rPr>
                <w:rFonts w:ascii="Times New Roman" w:hAnsi="Times New Roman"/>
                <w:color w:val="auto"/>
                <w:sz w:val="24"/>
                <w:szCs w:val="18"/>
              </w:rPr>
              <w:t>本项目建设后全厂总量控制指标见下表。</w:t>
            </w:r>
          </w:p>
          <w:p>
            <w:pPr>
              <w:jc w:val="center"/>
              <w:rPr>
                <w:b/>
                <w:bCs/>
                <w:color w:val="auto"/>
                <w:szCs w:val="21"/>
              </w:rPr>
            </w:pPr>
            <w:r>
              <w:rPr>
                <w:b/>
                <w:bCs/>
                <w:color w:val="auto"/>
                <w:szCs w:val="21"/>
              </w:rPr>
              <w:t>表3-</w:t>
            </w:r>
            <w:r>
              <w:rPr>
                <w:rFonts w:hint="eastAsia"/>
                <w:b/>
                <w:bCs/>
                <w:color w:val="auto"/>
                <w:szCs w:val="21"/>
              </w:rPr>
              <w:t>8</w:t>
            </w:r>
            <w:r>
              <w:rPr>
                <w:b/>
                <w:bCs/>
                <w:color w:val="auto"/>
                <w:szCs w:val="21"/>
              </w:rPr>
              <w:t>本项目建设后全厂污染物排放一览表（t/a）</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2035"/>
              <w:gridCol w:w="1755"/>
              <w:gridCol w:w="1121"/>
              <w:gridCol w:w="1121"/>
              <w:gridCol w:w="1121"/>
              <w:gridCol w:w="1375"/>
              <w:gridCol w:w="1632"/>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70" w:type="dxa"/>
                  <w:vMerge w:val="restart"/>
                  <w:noWrap/>
                  <w:vAlign w:val="center"/>
                </w:tcPr>
                <w:p>
                  <w:pPr>
                    <w:spacing w:line="264" w:lineRule="auto"/>
                    <w:jc w:val="center"/>
                    <w:rPr>
                      <w:color w:val="auto"/>
                      <w:szCs w:val="21"/>
                    </w:rPr>
                  </w:pPr>
                  <w:r>
                    <w:rPr>
                      <w:color w:val="auto"/>
                      <w:szCs w:val="21"/>
                    </w:rPr>
                    <w:t>类别</w:t>
                  </w:r>
                </w:p>
              </w:tc>
              <w:tc>
                <w:tcPr>
                  <w:tcW w:w="2035" w:type="dxa"/>
                  <w:vMerge w:val="restart"/>
                  <w:noWrap/>
                  <w:vAlign w:val="center"/>
                </w:tcPr>
                <w:p>
                  <w:pPr>
                    <w:spacing w:line="264" w:lineRule="auto"/>
                    <w:jc w:val="center"/>
                    <w:rPr>
                      <w:color w:val="auto"/>
                      <w:szCs w:val="21"/>
                    </w:rPr>
                  </w:pPr>
                  <w:r>
                    <w:rPr>
                      <w:color w:val="auto"/>
                      <w:szCs w:val="21"/>
                    </w:rPr>
                    <w:t>污染物名称</w:t>
                  </w:r>
                </w:p>
              </w:tc>
              <w:tc>
                <w:tcPr>
                  <w:tcW w:w="1755" w:type="dxa"/>
                  <w:vMerge w:val="restart"/>
                  <w:noWrap/>
                  <w:vAlign w:val="center"/>
                </w:tcPr>
                <w:p>
                  <w:pPr>
                    <w:pStyle w:val="37"/>
                    <w:spacing w:beforeLines="0" w:afterLines="0" w:line="240" w:lineRule="auto"/>
                    <w:rPr>
                      <w:rFonts w:hint="eastAsia" w:ascii="Times New Roman" w:eastAsia="宋体"/>
                      <w:snapToGrid w:val="0"/>
                      <w:color w:val="auto"/>
                      <w:spacing w:val="-6"/>
                      <w:kern w:val="21"/>
                      <w:szCs w:val="21"/>
                      <w:lang w:eastAsia="zh-CN"/>
                    </w:rPr>
                  </w:pPr>
                  <w:r>
                    <w:rPr>
                      <w:rFonts w:ascii="Times New Roman"/>
                      <w:snapToGrid w:val="0"/>
                      <w:color w:val="auto"/>
                      <w:spacing w:val="-6"/>
                      <w:kern w:val="21"/>
                      <w:szCs w:val="21"/>
                    </w:rPr>
                    <w:t>现有</w:t>
                  </w:r>
                  <w:r>
                    <w:rPr>
                      <w:rFonts w:hint="eastAsia" w:ascii="Times New Roman"/>
                      <w:snapToGrid w:val="0"/>
                      <w:color w:val="auto"/>
                      <w:spacing w:val="-6"/>
                      <w:kern w:val="21"/>
                      <w:szCs w:val="21"/>
                      <w:lang w:eastAsia="zh-CN"/>
                    </w:rPr>
                    <w:t>项目</w:t>
                  </w:r>
                </w:p>
                <w:p>
                  <w:pPr>
                    <w:spacing w:line="264" w:lineRule="auto"/>
                    <w:jc w:val="center"/>
                    <w:rPr>
                      <w:rFonts w:hint="eastAsia" w:eastAsia="宋体"/>
                      <w:color w:val="auto"/>
                      <w:szCs w:val="21"/>
                      <w:lang w:val="en-US" w:eastAsia="zh-CN"/>
                    </w:rPr>
                  </w:pPr>
                  <w:r>
                    <w:rPr>
                      <w:rFonts w:ascii="Times New Roman"/>
                      <w:snapToGrid w:val="0"/>
                      <w:color w:val="auto"/>
                      <w:spacing w:val="-6"/>
                      <w:kern w:val="21"/>
                      <w:szCs w:val="21"/>
                    </w:rPr>
                    <w:t>排放量（固体废物产生量）</w:t>
                  </w:r>
                </w:p>
              </w:tc>
              <w:tc>
                <w:tcPr>
                  <w:tcW w:w="3363" w:type="dxa"/>
                  <w:gridSpan w:val="3"/>
                  <w:noWrap/>
                  <w:vAlign w:val="center"/>
                </w:tcPr>
                <w:p>
                  <w:pPr>
                    <w:spacing w:line="264" w:lineRule="auto"/>
                    <w:jc w:val="center"/>
                    <w:rPr>
                      <w:color w:val="auto"/>
                      <w:szCs w:val="21"/>
                    </w:rPr>
                  </w:pPr>
                  <w:r>
                    <w:rPr>
                      <w:color w:val="auto"/>
                      <w:szCs w:val="21"/>
                    </w:rPr>
                    <w:t>本项目</w:t>
                  </w:r>
                </w:p>
              </w:tc>
              <w:tc>
                <w:tcPr>
                  <w:tcW w:w="1375" w:type="dxa"/>
                  <w:vMerge w:val="restart"/>
                  <w:noWrap/>
                  <w:vAlign w:val="center"/>
                </w:tcPr>
                <w:p>
                  <w:pPr>
                    <w:spacing w:line="264" w:lineRule="auto"/>
                    <w:jc w:val="center"/>
                    <w:rPr>
                      <w:color w:val="auto"/>
                      <w:szCs w:val="21"/>
                    </w:rPr>
                  </w:pPr>
                  <w:r>
                    <w:rPr>
                      <w:color w:val="auto"/>
                      <w:szCs w:val="21"/>
                    </w:rPr>
                    <w:t>以新带老削减量</w:t>
                  </w:r>
                </w:p>
              </w:tc>
              <w:tc>
                <w:tcPr>
                  <w:tcW w:w="1632" w:type="dxa"/>
                  <w:vMerge w:val="restart"/>
                  <w:noWrap/>
                  <w:vAlign w:val="center"/>
                </w:tcPr>
                <w:p>
                  <w:pPr>
                    <w:spacing w:line="264" w:lineRule="auto"/>
                    <w:jc w:val="center"/>
                    <w:rPr>
                      <w:color w:val="auto"/>
                      <w:szCs w:val="21"/>
                    </w:rPr>
                  </w:pPr>
                  <w:r>
                    <w:rPr>
                      <w:color w:val="auto"/>
                      <w:szCs w:val="21"/>
                    </w:rPr>
                    <w:t>建设后全厂排放总量</w:t>
                  </w:r>
                </w:p>
              </w:tc>
              <w:tc>
                <w:tcPr>
                  <w:tcW w:w="1391" w:type="dxa"/>
                  <w:vMerge w:val="restart"/>
                  <w:noWrap/>
                  <w:vAlign w:val="center"/>
                </w:tcPr>
                <w:p>
                  <w:pPr>
                    <w:spacing w:line="264" w:lineRule="auto"/>
                    <w:jc w:val="center"/>
                    <w:rPr>
                      <w:color w:val="auto"/>
                      <w:szCs w:val="21"/>
                    </w:rPr>
                  </w:pPr>
                  <w:r>
                    <w:rPr>
                      <w:color w:val="auto"/>
                      <w:szCs w:val="21"/>
                    </w:rPr>
                    <w:t>全厂排放增减量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dxa"/>
                  <w:vMerge w:val="continue"/>
                  <w:noWrap/>
                  <w:vAlign w:val="center"/>
                </w:tcPr>
                <w:p>
                  <w:pPr>
                    <w:spacing w:line="264" w:lineRule="auto"/>
                    <w:jc w:val="center"/>
                    <w:rPr>
                      <w:color w:val="auto"/>
                      <w:szCs w:val="21"/>
                    </w:rPr>
                  </w:pPr>
                </w:p>
              </w:tc>
              <w:tc>
                <w:tcPr>
                  <w:tcW w:w="2035" w:type="dxa"/>
                  <w:vMerge w:val="continue"/>
                  <w:noWrap/>
                  <w:vAlign w:val="center"/>
                </w:tcPr>
                <w:p>
                  <w:pPr>
                    <w:spacing w:line="264" w:lineRule="auto"/>
                    <w:jc w:val="center"/>
                    <w:rPr>
                      <w:color w:val="auto"/>
                      <w:szCs w:val="21"/>
                    </w:rPr>
                  </w:pPr>
                </w:p>
              </w:tc>
              <w:tc>
                <w:tcPr>
                  <w:tcW w:w="1755" w:type="dxa"/>
                  <w:vMerge w:val="continue"/>
                  <w:noWrap/>
                  <w:vAlign w:val="center"/>
                </w:tcPr>
                <w:p>
                  <w:pPr>
                    <w:spacing w:line="264" w:lineRule="auto"/>
                    <w:jc w:val="center"/>
                    <w:rPr>
                      <w:color w:val="auto"/>
                      <w:szCs w:val="21"/>
                    </w:rPr>
                  </w:pPr>
                </w:p>
              </w:tc>
              <w:tc>
                <w:tcPr>
                  <w:tcW w:w="1121" w:type="dxa"/>
                  <w:noWrap/>
                  <w:vAlign w:val="center"/>
                </w:tcPr>
                <w:p>
                  <w:pPr>
                    <w:spacing w:line="264" w:lineRule="auto"/>
                    <w:jc w:val="center"/>
                    <w:rPr>
                      <w:color w:val="auto"/>
                      <w:szCs w:val="21"/>
                    </w:rPr>
                  </w:pPr>
                  <w:r>
                    <w:rPr>
                      <w:color w:val="auto"/>
                      <w:szCs w:val="21"/>
                    </w:rPr>
                    <w:t>产生量</w:t>
                  </w:r>
                </w:p>
              </w:tc>
              <w:tc>
                <w:tcPr>
                  <w:tcW w:w="1121" w:type="dxa"/>
                  <w:noWrap/>
                  <w:vAlign w:val="center"/>
                </w:tcPr>
                <w:p>
                  <w:pPr>
                    <w:spacing w:line="264" w:lineRule="auto"/>
                    <w:jc w:val="center"/>
                    <w:rPr>
                      <w:color w:val="auto"/>
                      <w:szCs w:val="21"/>
                    </w:rPr>
                  </w:pPr>
                  <w:r>
                    <w:rPr>
                      <w:color w:val="auto"/>
                      <w:szCs w:val="21"/>
                    </w:rPr>
                    <w:t>削减量</w:t>
                  </w:r>
                </w:p>
              </w:tc>
              <w:tc>
                <w:tcPr>
                  <w:tcW w:w="1121" w:type="dxa"/>
                  <w:noWrap/>
                  <w:vAlign w:val="center"/>
                </w:tcPr>
                <w:p>
                  <w:pPr>
                    <w:spacing w:line="264" w:lineRule="auto"/>
                    <w:jc w:val="center"/>
                    <w:rPr>
                      <w:color w:val="auto"/>
                      <w:szCs w:val="21"/>
                    </w:rPr>
                  </w:pPr>
                  <w:r>
                    <w:rPr>
                      <w:color w:val="auto"/>
                      <w:szCs w:val="21"/>
                    </w:rPr>
                    <w:t>排放量</w:t>
                  </w:r>
                </w:p>
              </w:tc>
              <w:tc>
                <w:tcPr>
                  <w:tcW w:w="1375" w:type="dxa"/>
                  <w:vMerge w:val="continue"/>
                  <w:noWrap/>
                  <w:vAlign w:val="center"/>
                </w:tcPr>
                <w:p>
                  <w:pPr>
                    <w:spacing w:line="264" w:lineRule="auto"/>
                    <w:jc w:val="center"/>
                    <w:rPr>
                      <w:color w:val="auto"/>
                      <w:szCs w:val="21"/>
                    </w:rPr>
                  </w:pPr>
                </w:p>
              </w:tc>
              <w:tc>
                <w:tcPr>
                  <w:tcW w:w="1632" w:type="dxa"/>
                  <w:vMerge w:val="continue"/>
                  <w:noWrap/>
                  <w:vAlign w:val="center"/>
                </w:tcPr>
                <w:p>
                  <w:pPr>
                    <w:spacing w:line="264" w:lineRule="auto"/>
                    <w:jc w:val="center"/>
                    <w:rPr>
                      <w:color w:val="auto"/>
                      <w:szCs w:val="21"/>
                    </w:rPr>
                  </w:pPr>
                </w:p>
              </w:tc>
              <w:tc>
                <w:tcPr>
                  <w:tcW w:w="1391" w:type="dxa"/>
                  <w:vMerge w:val="continue"/>
                  <w:noWrap/>
                  <w:vAlign w:val="center"/>
                </w:tcPr>
                <w:p>
                  <w:pPr>
                    <w:spacing w:line="264"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exact"/>
              </w:trPr>
              <w:tc>
                <w:tcPr>
                  <w:tcW w:w="770" w:type="dxa"/>
                  <w:vMerge w:val="restart"/>
                  <w:shd w:val="clear" w:color="auto" w:fill="auto"/>
                  <w:noWrap/>
                  <w:vAlign w:val="center"/>
                </w:tcPr>
                <w:p>
                  <w:pPr>
                    <w:spacing w:line="264" w:lineRule="auto"/>
                    <w:jc w:val="center"/>
                    <w:rPr>
                      <w:color w:val="auto"/>
                      <w:szCs w:val="21"/>
                    </w:rPr>
                  </w:pPr>
                  <w:r>
                    <w:rPr>
                      <w:rFonts w:hint="eastAsia"/>
                      <w:color w:val="auto"/>
                      <w:szCs w:val="21"/>
                    </w:rPr>
                    <w:t>废水</w:t>
                  </w: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废水量</w:t>
                  </w:r>
                </w:p>
              </w:tc>
              <w:tc>
                <w:tcPr>
                  <w:tcW w:w="175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161.28</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161.28</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COD</w:t>
                  </w:r>
                </w:p>
              </w:tc>
              <w:tc>
                <w:tcPr>
                  <w:tcW w:w="1755" w:type="dxa"/>
                  <w:shd w:val="clear" w:color="auto" w:fill="auto"/>
                  <w:noWrap/>
                  <w:vAlign w:val="center"/>
                </w:tcPr>
                <w:p>
                  <w:pPr>
                    <w:spacing w:line="264" w:lineRule="auto"/>
                    <w:jc w:val="center"/>
                    <w:rPr>
                      <w:color w:val="auto"/>
                      <w:szCs w:val="21"/>
                    </w:rPr>
                  </w:pPr>
                  <w:r>
                    <w:rPr>
                      <w:rFonts w:hint="eastAsia"/>
                      <w:snapToGrid w:val="0"/>
                      <w:color w:val="auto"/>
                      <w:szCs w:val="21"/>
                    </w:rPr>
                    <w:t>0.0806</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rFonts w:hint="eastAsia"/>
                      <w:snapToGrid w:val="0"/>
                      <w:color w:val="auto"/>
                      <w:szCs w:val="21"/>
                    </w:rPr>
                    <w:t>0.0806</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SS</w:t>
                  </w:r>
                </w:p>
              </w:tc>
              <w:tc>
                <w:tcPr>
                  <w:tcW w:w="1755" w:type="dxa"/>
                  <w:shd w:val="clear" w:color="auto" w:fill="auto"/>
                  <w:noWrap/>
                  <w:vAlign w:val="center"/>
                </w:tcPr>
                <w:p>
                  <w:pPr>
                    <w:spacing w:line="264" w:lineRule="auto"/>
                    <w:jc w:val="center"/>
                    <w:rPr>
                      <w:color w:val="auto"/>
                      <w:szCs w:val="21"/>
                    </w:rPr>
                  </w:pPr>
                  <w:r>
                    <w:rPr>
                      <w:rFonts w:hint="eastAsia"/>
                      <w:snapToGrid w:val="0"/>
                      <w:color w:val="auto"/>
                      <w:szCs w:val="21"/>
                    </w:rPr>
                    <w:t>0.0451</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rFonts w:hint="eastAsia"/>
                      <w:snapToGrid w:val="0"/>
                      <w:color w:val="auto"/>
                      <w:szCs w:val="21"/>
                    </w:rPr>
                    <w:t>0.0451</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NH</w:t>
                  </w:r>
                  <w:r>
                    <w:rPr>
                      <w:rFonts w:ascii="Times New Roman" w:hAnsi="Times New Roman"/>
                      <w:color w:val="auto"/>
                      <w:sz w:val="21"/>
                      <w:szCs w:val="21"/>
                      <w:vertAlign w:val="subscript"/>
                    </w:rPr>
                    <w:t>3</w:t>
                  </w:r>
                  <w:r>
                    <w:rPr>
                      <w:rFonts w:ascii="Times New Roman" w:hAnsi="Times New Roman"/>
                      <w:color w:val="auto"/>
                      <w:sz w:val="21"/>
                      <w:szCs w:val="21"/>
                    </w:rPr>
                    <w:t>-N</w:t>
                  </w:r>
                </w:p>
              </w:tc>
              <w:tc>
                <w:tcPr>
                  <w:tcW w:w="1755" w:type="dxa"/>
                  <w:shd w:val="clear" w:color="auto" w:fill="auto"/>
                  <w:noWrap/>
                  <w:vAlign w:val="center"/>
                </w:tcPr>
                <w:p>
                  <w:pPr>
                    <w:spacing w:line="264" w:lineRule="auto"/>
                    <w:jc w:val="center"/>
                    <w:rPr>
                      <w:color w:val="auto"/>
                      <w:szCs w:val="21"/>
                    </w:rPr>
                  </w:pPr>
                  <w:r>
                    <w:rPr>
                      <w:rFonts w:hint="eastAsia"/>
                      <w:snapToGrid w:val="0"/>
                      <w:color w:val="auto"/>
                      <w:szCs w:val="21"/>
                    </w:rPr>
                    <w:t>0.0073</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rFonts w:hint="eastAsia"/>
                      <w:snapToGrid w:val="0"/>
                      <w:color w:val="auto"/>
                      <w:szCs w:val="21"/>
                    </w:rPr>
                    <w:t>0.0073</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TP</w:t>
                  </w:r>
                </w:p>
              </w:tc>
              <w:tc>
                <w:tcPr>
                  <w:tcW w:w="1755" w:type="dxa"/>
                  <w:shd w:val="clear" w:color="auto" w:fill="auto"/>
                  <w:noWrap/>
                  <w:vAlign w:val="center"/>
                </w:tcPr>
                <w:p>
                  <w:pPr>
                    <w:spacing w:line="264" w:lineRule="auto"/>
                    <w:jc w:val="center"/>
                    <w:rPr>
                      <w:color w:val="auto"/>
                      <w:szCs w:val="21"/>
                    </w:rPr>
                  </w:pPr>
                  <w:r>
                    <w:rPr>
                      <w:rFonts w:hint="eastAsia"/>
                      <w:snapToGrid w:val="0"/>
                      <w:color w:val="auto"/>
                      <w:szCs w:val="21"/>
                    </w:rPr>
                    <w:t>0.0013</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rFonts w:hint="eastAsia"/>
                      <w:snapToGrid w:val="0"/>
                      <w:color w:val="auto"/>
                      <w:szCs w:val="21"/>
                    </w:rPr>
                    <w:t>0.0013</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TN</w:t>
                  </w:r>
                </w:p>
              </w:tc>
              <w:tc>
                <w:tcPr>
                  <w:tcW w:w="1755" w:type="dxa"/>
                  <w:shd w:val="clear" w:color="auto" w:fill="auto"/>
                  <w:noWrap/>
                  <w:vAlign w:val="center"/>
                </w:tcPr>
                <w:p>
                  <w:pPr>
                    <w:spacing w:line="264" w:lineRule="auto"/>
                    <w:jc w:val="center"/>
                    <w:rPr>
                      <w:color w:val="auto"/>
                      <w:szCs w:val="21"/>
                    </w:rPr>
                  </w:pPr>
                  <w:r>
                    <w:rPr>
                      <w:rFonts w:hint="eastAsia"/>
                      <w:snapToGrid w:val="0"/>
                      <w:color w:val="auto"/>
                      <w:szCs w:val="21"/>
                    </w:rPr>
                    <w:t>0.0113</w:t>
                  </w:r>
                </w:p>
              </w:tc>
              <w:tc>
                <w:tcPr>
                  <w:tcW w:w="1121" w:type="dxa"/>
                  <w:shd w:val="clear" w:color="auto" w:fill="auto"/>
                  <w:noWrap/>
                  <w:vAlign w:val="center"/>
                </w:tcPr>
                <w:p>
                  <w:pPr>
                    <w:spacing w:line="264" w:lineRule="auto"/>
                    <w:jc w:val="center"/>
                    <w:rPr>
                      <w:color w:val="auto"/>
                      <w:szCs w:val="21"/>
                    </w:rPr>
                  </w:pPr>
                  <w:r>
                    <w:rPr>
                      <w:rFonts w:hint="eastAsia"/>
                      <w:color w:val="auto"/>
                      <w:szCs w:val="21"/>
                    </w:rPr>
                    <w:t>0</w:t>
                  </w:r>
                </w:p>
              </w:tc>
              <w:tc>
                <w:tcPr>
                  <w:tcW w:w="1121" w:type="dxa"/>
                  <w:shd w:val="clear" w:color="auto" w:fill="auto"/>
                  <w:noWrap/>
                  <w:vAlign w:val="center"/>
                </w:tcPr>
                <w:p>
                  <w:pPr>
                    <w:spacing w:line="264" w:lineRule="auto"/>
                    <w:jc w:val="center"/>
                    <w:rPr>
                      <w:color w:val="auto"/>
                      <w:szCs w:val="21"/>
                    </w:rPr>
                  </w:pPr>
                  <w:r>
                    <w:rPr>
                      <w:rFonts w:hint="eastAsia"/>
                      <w:color w:val="auto"/>
                      <w:szCs w:val="21"/>
                    </w:rPr>
                    <w:t>0</w:t>
                  </w:r>
                </w:p>
              </w:tc>
              <w:tc>
                <w:tcPr>
                  <w:tcW w:w="1121" w:type="dxa"/>
                  <w:shd w:val="clear" w:color="auto" w:fill="auto"/>
                  <w:noWrap/>
                  <w:vAlign w:val="center"/>
                </w:tcPr>
                <w:p>
                  <w:pPr>
                    <w:spacing w:line="264" w:lineRule="auto"/>
                    <w:jc w:val="center"/>
                    <w:rPr>
                      <w:color w:val="auto"/>
                      <w:szCs w:val="21"/>
                    </w:rPr>
                  </w:pPr>
                  <w:r>
                    <w:rPr>
                      <w:rFonts w:hint="eastAsia"/>
                      <w:color w:val="auto"/>
                      <w:szCs w:val="21"/>
                    </w:rPr>
                    <w:t>0</w:t>
                  </w:r>
                </w:p>
              </w:tc>
              <w:tc>
                <w:tcPr>
                  <w:tcW w:w="1375" w:type="dxa"/>
                  <w:shd w:val="clear" w:color="auto" w:fill="auto"/>
                  <w:noWrap/>
                  <w:vAlign w:val="center"/>
                </w:tcPr>
                <w:p>
                  <w:pPr>
                    <w:spacing w:line="264" w:lineRule="auto"/>
                    <w:jc w:val="center"/>
                    <w:rPr>
                      <w:color w:val="auto"/>
                      <w:szCs w:val="21"/>
                    </w:rPr>
                  </w:pPr>
                  <w:r>
                    <w:rPr>
                      <w:rFonts w:hint="eastAsia"/>
                      <w:color w:val="auto"/>
                      <w:szCs w:val="21"/>
                    </w:rPr>
                    <w:t>0</w:t>
                  </w:r>
                </w:p>
              </w:tc>
              <w:tc>
                <w:tcPr>
                  <w:tcW w:w="1632" w:type="dxa"/>
                  <w:shd w:val="clear" w:color="auto" w:fill="auto"/>
                  <w:noWrap/>
                  <w:vAlign w:val="center"/>
                </w:tcPr>
                <w:p>
                  <w:pPr>
                    <w:spacing w:line="264" w:lineRule="auto"/>
                    <w:jc w:val="center"/>
                    <w:rPr>
                      <w:color w:val="auto"/>
                      <w:szCs w:val="21"/>
                    </w:rPr>
                  </w:pPr>
                  <w:r>
                    <w:rPr>
                      <w:rFonts w:hint="eastAsia"/>
                      <w:snapToGrid w:val="0"/>
                      <w:color w:val="auto"/>
                      <w:szCs w:val="21"/>
                    </w:rPr>
                    <w:t>0.0113</w:t>
                  </w:r>
                </w:p>
              </w:tc>
              <w:tc>
                <w:tcPr>
                  <w:tcW w:w="1391" w:type="dxa"/>
                  <w:shd w:val="clear" w:color="auto" w:fill="auto"/>
                  <w:noWrap/>
                  <w:vAlign w:val="center"/>
                </w:tcPr>
                <w:p>
                  <w:pPr>
                    <w:spacing w:line="264" w:lineRule="auto"/>
                    <w:jc w:val="center"/>
                    <w:rPr>
                      <w:color w:val="auto"/>
                      <w:szCs w:val="21"/>
                    </w:rPr>
                  </w:pPr>
                  <w:r>
                    <w:rPr>
                      <w:rFonts w:hint="eastAsia"/>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restart"/>
                  <w:shd w:val="clear" w:color="auto" w:fill="auto"/>
                  <w:noWrap/>
                  <w:vAlign w:val="center"/>
                </w:tcPr>
                <w:p>
                  <w:pPr>
                    <w:spacing w:line="264" w:lineRule="auto"/>
                    <w:jc w:val="center"/>
                    <w:rPr>
                      <w:color w:val="auto"/>
                      <w:szCs w:val="21"/>
                    </w:rPr>
                  </w:pPr>
                  <w:r>
                    <w:rPr>
                      <w:color w:val="auto"/>
                      <w:szCs w:val="21"/>
                    </w:rPr>
                    <w:t>固废</w:t>
                  </w: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生活垃圾</w:t>
                  </w:r>
                </w:p>
              </w:tc>
              <w:tc>
                <w:tcPr>
                  <w:tcW w:w="1755" w:type="dxa"/>
                  <w:shd w:val="clear" w:color="auto" w:fill="auto"/>
                  <w:noWrap/>
                  <w:vAlign w:val="center"/>
                </w:tcPr>
                <w:p>
                  <w:pPr>
                    <w:widowControl/>
                    <w:jc w:val="center"/>
                    <w:textAlignment w:val="center"/>
                    <w:rPr>
                      <w:color w:val="auto"/>
                      <w:szCs w:val="21"/>
                    </w:rPr>
                  </w:pPr>
                  <w:r>
                    <w:rPr>
                      <w:rFonts w:hint="eastAsia"/>
                      <w:color w:val="auto"/>
                      <w:szCs w:val="21"/>
                    </w:rPr>
                    <w:t>1.68</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rFonts w:hint="eastAsia"/>
                      <w:color w:val="auto"/>
                      <w:szCs w:val="21"/>
                    </w:rPr>
                    <w:t>0</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不合格品</w:t>
                  </w:r>
                </w:p>
              </w:tc>
              <w:tc>
                <w:tcPr>
                  <w:tcW w:w="1755" w:type="dxa"/>
                  <w:shd w:val="clear" w:color="auto" w:fill="auto"/>
                  <w:noWrap/>
                  <w:vAlign w:val="center"/>
                </w:tcPr>
                <w:p>
                  <w:pPr>
                    <w:widowControl/>
                    <w:jc w:val="center"/>
                    <w:textAlignment w:val="center"/>
                    <w:rPr>
                      <w:color w:val="auto"/>
                      <w:szCs w:val="21"/>
                    </w:rPr>
                  </w:pPr>
                  <w:r>
                    <w:rPr>
                      <w:rFonts w:hint="eastAsia"/>
                      <w:color w:val="auto"/>
                      <w:szCs w:val="21"/>
                    </w:rPr>
                    <w:t>20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snapToGrid w:val="0"/>
                      <w:color w:val="auto"/>
                      <w:szCs w:val="21"/>
                    </w:rPr>
                  </w:pPr>
                  <w:r>
                    <w:rPr>
                      <w:rFonts w:hint="eastAsia"/>
                      <w:snapToGrid w:val="0"/>
                      <w:color w:val="auto"/>
                      <w:szCs w:val="21"/>
                    </w:rPr>
                    <w:t>0</w:t>
                  </w:r>
                </w:p>
              </w:tc>
              <w:tc>
                <w:tcPr>
                  <w:tcW w:w="1391" w:type="dxa"/>
                  <w:shd w:val="clear" w:color="auto" w:fill="auto"/>
                  <w:noWrap/>
                  <w:vAlign w:val="center"/>
                </w:tcPr>
                <w:p>
                  <w:pPr>
                    <w:spacing w:line="264" w:lineRule="auto"/>
                    <w:jc w:val="center"/>
                    <w:rPr>
                      <w:color w:val="auto"/>
                      <w:szCs w:val="21"/>
                    </w:rPr>
                  </w:pPr>
                  <w:r>
                    <w:rPr>
                      <w:rFonts w:hint="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废包装桶</w:t>
                  </w:r>
                </w:p>
              </w:tc>
              <w:tc>
                <w:tcPr>
                  <w:tcW w:w="1755" w:type="dxa"/>
                  <w:shd w:val="clear" w:color="auto" w:fill="auto"/>
                  <w:noWrap/>
                  <w:vAlign w:val="center"/>
                </w:tcPr>
                <w:p>
                  <w:pPr>
                    <w:widowControl/>
                    <w:jc w:val="center"/>
                    <w:textAlignment w:val="center"/>
                    <w:rPr>
                      <w:color w:val="auto"/>
                      <w:szCs w:val="21"/>
                    </w:rPr>
                  </w:pPr>
                  <w:r>
                    <w:rPr>
                      <w:rFonts w:hint="eastAsia"/>
                      <w:color w:val="auto"/>
                      <w:szCs w:val="21"/>
                    </w:rPr>
                    <w:t>0.5</w:t>
                  </w:r>
                </w:p>
              </w:tc>
              <w:tc>
                <w:tcPr>
                  <w:tcW w:w="1121" w:type="dxa"/>
                  <w:shd w:val="clear" w:color="auto" w:fill="auto"/>
                  <w:noWrap/>
                  <w:vAlign w:val="center"/>
                </w:tcPr>
                <w:p>
                  <w:pPr>
                    <w:widowControl/>
                    <w:jc w:val="center"/>
                    <w:textAlignment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color w:val="auto"/>
                      <w:szCs w:val="21"/>
                    </w:rPr>
                    <w:t>0</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废包装瓶</w:t>
                  </w:r>
                </w:p>
              </w:tc>
              <w:tc>
                <w:tcPr>
                  <w:tcW w:w="1755" w:type="dxa"/>
                  <w:shd w:val="clear" w:color="auto" w:fill="auto"/>
                  <w:noWrap/>
                  <w:vAlign w:val="center"/>
                </w:tcPr>
                <w:p>
                  <w:pPr>
                    <w:widowControl/>
                    <w:jc w:val="center"/>
                    <w:textAlignment w:val="center"/>
                    <w:rPr>
                      <w:color w:val="auto"/>
                      <w:szCs w:val="21"/>
                    </w:rPr>
                  </w:pPr>
                  <w:r>
                    <w:rPr>
                      <w:rFonts w:hint="eastAsia"/>
                      <w:color w:val="auto"/>
                      <w:szCs w:val="21"/>
                    </w:rPr>
                    <w:t>0.1</w:t>
                  </w:r>
                </w:p>
              </w:tc>
              <w:tc>
                <w:tcPr>
                  <w:tcW w:w="1121" w:type="dxa"/>
                  <w:shd w:val="clear" w:color="auto" w:fill="auto"/>
                  <w:noWrap/>
                  <w:vAlign w:val="center"/>
                </w:tcPr>
                <w:p>
                  <w:pPr>
                    <w:widowControl/>
                    <w:jc w:val="center"/>
                    <w:textAlignment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color w:val="auto"/>
                      <w:szCs w:val="21"/>
                    </w:rPr>
                    <w:t>0</w:t>
                  </w:r>
                </w:p>
              </w:tc>
              <w:tc>
                <w:tcPr>
                  <w:tcW w:w="1391" w:type="dxa"/>
                  <w:shd w:val="clear" w:color="auto" w:fill="auto"/>
                  <w:noWrap/>
                  <w:vAlign w:val="center"/>
                </w:tcPr>
                <w:p>
                  <w:pPr>
                    <w:spacing w:line="264" w:lineRule="auto"/>
                    <w:jc w:val="center"/>
                    <w:rPr>
                      <w:color w:val="auto"/>
                      <w:szCs w:val="21"/>
                    </w:rPr>
                  </w:pPr>
                  <w:r>
                    <w:rPr>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770" w:type="dxa"/>
                  <w:vMerge w:val="continue"/>
                  <w:shd w:val="clear" w:color="auto" w:fill="auto"/>
                  <w:noWrap/>
                  <w:vAlign w:val="center"/>
                </w:tcPr>
                <w:p>
                  <w:pPr>
                    <w:spacing w:line="264" w:lineRule="auto"/>
                    <w:jc w:val="center"/>
                    <w:rPr>
                      <w:color w:val="auto"/>
                      <w:szCs w:val="21"/>
                    </w:rPr>
                  </w:pPr>
                </w:p>
              </w:tc>
              <w:tc>
                <w:tcPr>
                  <w:tcW w:w="2035" w:type="dxa"/>
                  <w:shd w:val="clear" w:color="auto" w:fill="auto"/>
                  <w:noWrap/>
                  <w:vAlign w:val="center"/>
                </w:tcPr>
                <w:p>
                  <w:pPr>
                    <w:pStyle w:val="2"/>
                    <w:keepNext w:val="0"/>
                    <w:keepLines w:val="0"/>
                    <w:adjustRightInd/>
                    <w:spacing w:line="264" w:lineRule="auto"/>
                    <w:jc w:val="center"/>
                    <w:outlineLvl w:val="2"/>
                    <w:rPr>
                      <w:rFonts w:ascii="Times New Roman" w:hAnsi="Times New Roman"/>
                      <w:color w:val="auto"/>
                      <w:sz w:val="21"/>
                      <w:szCs w:val="21"/>
                    </w:rPr>
                  </w:pPr>
                  <w:r>
                    <w:rPr>
                      <w:rFonts w:hint="eastAsia" w:ascii="Times New Roman" w:hAnsi="Times New Roman"/>
                      <w:color w:val="auto"/>
                      <w:sz w:val="21"/>
                      <w:szCs w:val="21"/>
                    </w:rPr>
                    <w:t>废抹布</w:t>
                  </w:r>
                </w:p>
              </w:tc>
              <w:tc>
                <w:tcPr>
                  <w:tcW w:w="1755" w:type="dxa"/>
                  <w:shd w:val="clear" w:color="auto" w:fill="auto"/>
                  <w:noWrap/>
                  <w:vAlign w:val="center"/>
                </w:tcPr>
                <w:p>
                  <w:pPr>
                    <w:widowControl/>
                    <w:jc w:val="center"/>
                    <w:textAlignment w:val="center"/>
                    <w:rPr>
                      <w:color w:val="auto"/>
                      <w:szCs w:val="21"/>
                    </w:rPr>
                  </w:pPr>
                  <w:r>
                    <w:rPr>
                      <w:rFonts w:hint="eastAsia"/>
                      <w:color w:val="auto"/>
                      <w:szCs w:val="21"/>
                    </w:rPr>
                    <w:t>0.1</w:t>
                  </w:r>
                </w:p>
              </w:tc>
              <w:tc>
                <w:tcPr>
                  <w:tcW w:w="1121" w:type="dxa"/>
                  <w:shd w:val="clear" w:color="auto" w:fill="auto"/>
                  <w:noWrap/>
                  <w:vAlign w:val="center"/>
                </w:tcPr>
                <w:p>
                  <w:pPr>
                    <w:widowControl/>
                    <w:jc w:val="center"/>
                    <w:textAlignment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121" w:type="dxa"/>
                  <w:shd w:val="clear" w:color="auto" w:fill="auto"/>
                  <w:noWrap/>
                  <w:vAlign w:val="center"/>
                </w:tcPr>
                <w:p>
                  <w:pPr>
                    <w:spacing w:line="264" w:lineRule="auto"/>
                    <w:jc w:val="center"/>
                    <w:rPr>
                      <w:color w:val="auto"/>
                      <w:szCs w:val="21"/>
                    </w:rPr>
                  </w:pPr>
                  <w:r>
                    <w:rPr>
                      <w:color w:val="auto"/>
                      <w:szCs w:val="21"/>
                    </w:rPr>
                    <w:t>0</w:t>
                  </w:r>
                </w:p>
              </w:tc>
              <w:tc>
                <w:tcPr>
                  <w:tcW w:w="1375" w:type="dxa"/>
                  <w:shd w:val="clear" w:color="auto" w:fill="auto"/>
                  <w:noWrap/>
                  <w:vAlign w:val="center"/>
                </w:tcPr>
                <w:p>
                  <w:pPr>
                    <w:spacing w:line="264" w:lineRule="auto"/>
                    <w:jc w:val="center"/>
                    <w:rPr>
                      <w:color w:val="auto"/>
                      <w:szCs w:val="21"/>
                    </w:rPr>
                  </w:pPr>
                  <w:r>
                    <w:rPr>
                      <w:color w:val="auto"/>
                      <w:szCs w:val="21"/>
                    </w:rPr>
                    <w:t>0</w:t>
                  </w:r>
                </w:p>
              </w:tc>
              <w:tc>
                <w:tcPr>
                  <w:tcW w:w="1632" w:type="dxa"/>
                  <w:shd w:val="clear" w:color="auto" w:fill="auto"/>
                  <w:noWrap/>
                  <w:vAlign w:val="center"/>
                </w:tcPr>
                <w:p>
                  <w:pPr>
                    <w:spacing w:line="264" w:lineRule="auto"/>
                    <w:jc w:val="center"/>
                    <w:rPr>
                      <w:color w:val="auto"/>
                      <w:szCs w:val="21"/>
                    </w:rPr>
                  </w:pPr>
                  <w:r>
                    <w:rPr>
                      <w:color w:val="auto"/>
                      <w:szCs w:val="21"/>
                    </w:rPr>
                    <w:t>0</w:t>
                  </w:r>
                </w:p>
              </w:tc>
              <w:tc>
                <w:tcPr>
                  <w:tcW w:w="1391" w:type="dxa"/>
                  <w:shd w:val="clear" w:color="auto" w:fill="auto"/>
                  <w:noWrap/>
                  <w:vAlign w:val="center"/>
                </w:tcPr>
                <w:p>
                  <w:pPr>
                    <w:spacing w:line="264" w:lineRule="auto"/>
                    <w:jc w:val="center"/>
                    <w:rPr>
                      <w:color w:val="auto"/>
                      <w:szCs w:val="21"/>
                    </w:rPr>
                  </w:pPr>
                  <w:r>
                    <w:rPr>
                      <w:color w:val="auto"/>
                      <w:szCs w:val="21"/>
                    </w:rPr>
                    <w:t>0</w:t>
                  </w:r>
                </w:p>
              </w:tc>
            </w:tr>
          </w:tbl>
          <w:p>
            <w:pPr>
              <w:pStyle w:val="2"/>
              <w:outlineLvl w:val="2"/>
              <w:rPr>
                <w:rFonts w:ascii="Times New Roman" w:hAnsi="Times New Roman"/>
                <w:color w:val="auto"/>
              </w:rPr>
            </w:pPr>
          </w:p>
        </w:tc>
      </w:tr>
    </w:tbl>
    <w:p>
      <w:pPr>
        <w:pStyle w:val="2"/>
        <w:rPr>
          <w:rFonts w:ascii="Times New Roman" w:hAnsi="Times New Roman"/>
          <w:color w:val="auto"/>
        </w:rPr>
        <w:sectPr>
          <w:pgSz w:w="16840" w:h="11907" w:orient="landscape"/>
          <w:pgMar w:top="1531" w:right="1701" w:bottom="1531" w:left="2127" w:header="851" w:footer="851" w:gutter="0"/>
          <w:cols w:space="720" w:num="1"/>
          <w:docGrid w:linePitch="312" w:charSpace="0"/>
        </w:sectPr>
      </w:pPr>
    </w:p>
    <w:p>
      <w:pPr>
        <w:pStyle w:val="16"/>
        <w:adjustRightInd w:val="0"/>
        <w:snapToGrid w:val="0"/>
        <w:spacing w:beforeLines="50" w:beforeAutospacing="0" w:afterLines="50" w:afterAutospacing="0"/>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四、主要环境影响和保护措施</w:t>
      </w:r>
    </w:p>
    <w:tbl>
      <w:tblPr>
        <w:tblStyle w:val="19"/>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31"/>
        <w:gridCol w:w="85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9" w:hRule="atLeast"/>
          <w:jc w:val="center"/>
        </w:trPr>
        <w:tc>
          <w:tcPr>
            <w:tcW w:w="594" w:type="dxa"/>
            <w:noWrap/>
            <w:tcMar>
              <w:left w:w="28" w:type="dxa"/>
              <w:right w:w="28" w:type="dxa"/>
            </w:tcMar>
            <w:vAlign w:val="center"/>
          </w:tcPr>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施</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工</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期</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环</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境</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保</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护</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措</w:t>
            </w:r>
          </w:p>
          <w:p>
            <w:pPr>
              <w:pStyle w:val="16"/>
              <w:adjustRightInd w:val="0"/>
              <w:snapToGrid w:val="0"/>
              <w:spacing w:before="0" w:beforeAutospacing="0" w:after="0" w:afterAutospacing="0"/>
              <w:jc w:val="center"/>
              <w:rPr>
                <w:rFonts w:ascii="Times New Roman" w:hAnsi="Times New Roman"/>
                <w:bCs/>
                <w:color w:val="auto"/>
                <w:kern w:val="2"/>
                <w:sz w:val="21"/>
                <w:szCs w:val="21"/>
              </w:rPr>
            </w:pPr>
            <w:r>
              <w:rPr>
                <w:rFonts w:ascii="Times New Roman" w:hAnsi="Times New Roman"/>
                <w:color w:val="auto"/>
                <w:kern w:val="2"/>
                <w:szCs w:val="24"/>
              </w:rPr>
              <w:t>施</w:t>
            </w:r>
          </w:p>
        </w:tc>
        <w:tc>
          <w:tcPr>
            <w:tcW w:w="8387" w:type="dxa"/>
            <w:noWrap/>
          </w:tcPr>
          <w:p>
            <w:pPr>
              <w:widowControl/>
              <w:adjustRightInd w:val="0"/>
              <w:snapToGrid w:val="0"/>
              <w:spacing w:line="360" w:lineRule="auto"/>
              <w:ind w:firstLine="480" w:firstLineChars="200"/>
              <w:jc w:val="left"/>
              <w:rPr>
                <w:color w:val="auto"/>
                <w:sz w:val="24"/>
              </w:rPr>
            </w:pPr>
            <w:r>
              <w:rPr>
                <w:color w:val="auto"/>
                <w:sz w:val="24"/>
              </w:rPr>
              <w:t>本项目建设危险化学品专用仓库占地面积1</w:t>
            </w:r>
            <w:r>
              <w:rPr>
                <w:rFonts w:hint="eastAsia"/>
                <w:color w:val="auto"/>
                <w:sz w:val="24"/>
              </w:rPr>
              <w:t>7</w:t>
            </w:r>
            <w:r>
              <w:rPr>
                <w:color w:val="auto"/>
                <w:sz w:val="24"/>
              </w:rPr>
              <w:t>9.25平方米。项目建设期3个月，在此期间，各项施工活动，物料运输将不可避免地产生废气、粉尘、废水、噪声和固体废物，并对周围环境产生污染影响，其中以施工噪声和粉尘污染影响较为突出。</w:t>
            </w:r>
          </w:p>
          <w:p>
            <w:pPr>
              <w:widowControl/>
              <w:adjustRightInd w:val="0"/>
              <w:snapToGrid w:val="0"/>
              <w:spacing w:line="360" w:lineRule="auto"/>
              <w:jc w:val="left"/>
              <w:rPr>
                <w:b/>
                <w:bCs/>
                <w:color w:val="auto"/>
                <w:sz w:val="24"/>
              </w:rPr>
            </w:pPr>
            <w:r>
              <w:rPr>
                <w:b/>
                <w:bCs/>
                <w:color w:val="auto"/>
                <w:sz w:val="24"/>
              </w:rPr>
              <w:t>1、废气</w:t>
            </w:r>
          </w:p>
          <w:p>
            <w:pPr>
              <w:widowControl/>
              <w:adjustRightInd w:val="0"/>
              <w:snapToGrid w:val="0"/>
              <w:spacing w:line="360" w:lineRule="auto"/>
              <w:ind w:firstLine="480" w:firstLineChars="200"/>
              <w:jc w:val="left"/>
              <w:rPr>
                <w:color w:val="auto"/>
                <w:sz w:val="24"/>
              </w:rPr>
            </w:pPr>
            <w:r>
              <w:rPr>
                <w:color w:val="auto"/>
                <w:sz w:val="24"/>
              </w:rPr>
              <w:t>项目施工期废气主要包括扬尘、装修工程废气、施工机械废气及运输车辆尾气等。</w:t>
            </w:r>
          </w:p>
          <w:p>
            <w:pPr>
              <w:widowControl/>
              <w:adjustRightInd w:val="0"/>
              <w:snapToGrid w:val="0"/>
              <w:spacing w:line="360" w:lineRule="auto"/>
              <w:ind w:firstLine="480" w:firstLineChars="200"/>
              <w:jc w:val="left"/>
              <w:rPr>
                <w:color w:val="auto"/>
                <w:sz w:val="24"/>
              </w:rPr>
            </w:pPr>
            <w:r>
              <w:rPr>
                <w:color w:val="auto"/>
                <w:sz w:val="24"/>
              </w:rPr>
              <w:t>针对施工期扬尘，项目施工时拟采取围墙封闭施工现场、采用密目安全网、定期对地面洒水、对撒落在路面的渣土及时清除、施工现场运输道路采用硬化路面、自卸车、垃圾运输车等运输车辆不允许超载，出场前一律清洗轮胎及车身，用毡布覆盖等一系列措施，大大减少了施工扬尘对环境空气的影响。经过类比分析可知，项目施工场地在采取防尘措施后扬尘影响范围有明显降低。</w:t>
            </w:r>
          </w:p>
          <w:p>
            <w:pPr>
              <w:widowControl/>
              <w:adjustRightInd w:val="0"/>
              <w:snapToGrid w:val="0"/>
              <w:spacing w:line="360" w:lineRule="auto"/>
              <w:ind w:firstLine="480" w:firstLineChars="200"/>
              <w:jc w:val="left"/>
              <w:rPr>
                <w:color w:val="auto"/>
                <w:sz w:val="24"/>
              </w:rPr>
            </w:pPr>
            <w:r>
              <w:rPr>
                <w:color w:val="auto"/>
                <w:sz w:val="24"/>
              </w:rPr>
              <w:t>施工机械废气及运输车辆尾气的排放量小，且属间断性无组织排放，加之施工场地开阔，扩散条件良好，只要施工期内注意施工设备的维护，施工机械废气及运输车辆尾气的排放不会对周边环境造成明显影响。</w:t>
            </w:r>
          </w:p>
          <w:p>
            <w:pPr>
              <w:widowControl/>
              <w:adjustRightInd w:val="0"/>
              <w:snapToGrid w:val="0"/>
              <w:spacing w:line="360" w:lineRule="auto"/>
              <w:ind w:firstLine="480" w:firstLineChars="200"/>
              <w:jc w:val="left"/>
              <w:rPr>
                <w:color w:val="auto"/>
                <w:sz w:val="24"/>
              </w:rPr>
            </w:pPr>
            <w:r>
              <w:rPr>
                <w:color w:val="auto"/>
                <w:sz w:val="24"/>
              </w:rPr>
              <w:t>装修工程废气排放周期短，且作业点分散，在装修期间，应采用环保涂料，并加强室内的通风换气，再加上项目所在场地扩散条件较好，装修工程废气的排放不会对周边环境产生明显影响。</w:t>
            </w:r>
          </w:p>
          <w:p>
            <w:pPr>
              <w:widowControl/>
              <w:adjustRightInd w:val="0"/>
              <w:snapToGrid w:val="0"/>
              <w:spacing w:line="360" w:lineRule="auto"/>
              <w:jc w:val="left"/>
              <w:rPr>
                <w:b/>
                <w:bCs/>
                <w:color w:val="auto"/>
                <w:sz w:val="24"/>
              </w:rPr>
            </w:pPr>
            <w:r>
              <w:rPr>
                <w:b/>
                <w:bCs/>
                <w:color w:val="auto"/>
                <w:sz w:val="24"/>
              </w:rPr>
              <w:t>2、废水</w:t>
            </w:r>
          </w:p>
          <w:p>
            <w:pPr>
              <w:widowControl/>
              <w:adjustRightInd w:val="0"/>
              <w:snapToGrid w:val="0"/>
              <w:spacing w:line="360" w:lineRule="auto"/>
              <w:ind w:firstLine="480" w:firstLineChars="200"/>
              <w:jc w:val="left"/>
              <w:rPr>
                <w:color w:val="auto"/>
                <w:sz w:val="24"/>
              </w:rPr>
            </w:pPr>
            <w:r>
              <w:rPr>
                <w:color w:val="auto"/>
                <w:sz w:val="24"/>
              </w:rPr>
              <w:t>本项目施工期的废水排放主要来自于建筑工人的生活污水，以及建筑施工废水。建设单位在施工建设时必须严格控制施工期废水的产生及排放。</w:t>
            </w:r>
          </w:p>
          <w:p>
            <w:pPr>
              <w:widowControl/>
              <w:adjustRightInd w:val="0"/>
              <w:snapToGrid w:val="0"/>
              <w:spacing w:line="360" w:lineRule="auto"/>
              <w:ind w:firstLine="480" w:firstLineChars="200"/>
              <w:jc w:val="left"/>
              <w:rPr>
                <w:color w:val="auto"/>
                <w:sz w:val="24"/>
              </w:rPr>
            </w:pPr>
            <w:r>
              <w:rPr>
                <w:color w:val="auto"/>
                <w:sz w:val="24"/>
              </w:rPr>
              <w:t>（1）生活污水</w:t>
            </w:r>
          </w:p>
          <w:p>
            <w:pPr>
              <w:widowControl/>
              <w:adjustRightInd w:val="0"/>
              <w:snapToGrid w:val="0"/>
              <w:spacing w:line="360" w:lineRule="auto"/>
              <w:ind w:firstLine="480" w:firstLineChars="200"/>
              <w:jc w:val="left"/>
              <w:rPr>
                <w:color w:val="auto"/>
                <w:sz w:val="24"/>
              </w:rPr>
            </w:pPr>
            <w:r>
              <w:rPr>
                <w:color w:val="auto"/>
                <w:sz w:val="24"/>
              </w:rPr>
              <w:t>施工生活污水主要是施工人员日常盥洗水，该废水主要污染物是COD、SS，水质较简单，施工人员生活污水接入常熟城东净水厂；施工期较短，因此施工废水对环境影响较小。</w:t>
            </w:r>
          </w:p>
          <w:p>
            <w:pPr>
              <w:widowControl/>
              <w:adjustRightInd w:val="0"/>
              <w:snapToGrid w:val="0"/>
              <w:spacing w:line="360" w:lineRule="auto"/>
              <w:ind w:firstLine="480" w:firstLineChars="200"/>
              <w:jc w:val="left"/>
              <w:rPr>
                <w:color w:val="auto"/>
                <w:sz w:val="24"/>
              </w:rPr>
            </w:pPr>
            <w:r>
              <w:rPr>
                <w:color w:val="auto"/>
                <w:sz w:val="24"/>
              </w:rPr>
              <w:t>（2）施工废水</w:t>
            </w:r>
          </w:p>
          <w:p>
            <w:pPr>
              <w:widowControl/>
              <w:adjustRightInd w:val="0"/>
              <w:snapToGrid w:val="0"/>
              <w:spacing w:line="360" w:lineRule="auto"/>
              <w:ind w:firstLine="480" w:firstLineChars="200"/>
              <w:jc w:val="left"/>
              <w:rPr>
                <w:color w:val="auto"/>
                <w:sz w:val="24"/>
              </w:rPr>
            </w:pPr>
            <w:r>
              <w:rPr>
                <w:color w:val="auto"/>
                <w:sz w:val="24"/>
              </w:rPr>
              <w:t>施工设备冲洗废水和水泥养护废水，主要污染物为泥沙，可设置一集水池专门收集此废水，该废水在集水池内经沉淀后可循环回用于设备冲洗和水泥养护，还可以用于路面泼洒抑尘，此废水不外排，不会对地表水产生影响。</w:t>
            </w:r>
          </w:p>
          <w:p>
            <w:pPr>
              <w:widowControl/>
              <w:adjustRightInd w:val="0"/>
              <w:snapToGrid w:val="0"/>
              <w:spacing w:line="360" w:lineRule="auto"/>
              <w:ind w:firstLine="480" w:firstLineChars="200"/>
              <w:jc w:val="left"/>
              <w:rPr>
                <w:color w:val="auto"/>
                <w:sz w:val="24"/>
              </w:rPr>
            </w:pPr>
            <w:r>
              <w:rPr>
                <w:color w:val="auto"/>
                <w:sz w:val="24"/>
              </w:rPr>
              <w:t>综上所述，施工期废水经严格控制其排放后，不会产生较大影响。</w:t>
            </w:r>
          </w:p>
          <w:p>
            <w:pPr>
              <w:widowControl/>
              <w:adjustRightInd w:val="0"/>
              <w:snapToGrid w:val="0"/>
              <w:spacing w:line="360" w:lineRule="auto"/>
              <w:jc w:val="left"/>
              <w:rPr>
                <w:color w:val="auto"/>
                <w:sz w:val="24"/>
              </w:rPr>
            </w:pPr>
            <w:r>
              <w:rPr>
                <w:b/>
                <w:bCs/>
                <w:color w:val="auto"/>
                <w:sz w:val="24"/>
              </w:rPr>
              <w:t>3、施工噪声</w:t>
            </w:r>
          </w:p>
          <w:p>
            <w:pPr>
              <w:widowControl/>
              <w:adjustRightInd w:val="0"/>
              <w:snapToGrid w:val="0"/>
              <w:spacing w:line="360" w:lineRule="auto"/>
              <w:ind w:firstLine="480" w:firstLineChars="200"/>
              <w:jc w:val="left"/>
              <w:rPr>
                <w:color w:val="auto"/>
                <w:sz w:val="24"/>
              </w:rPr>
            </w:pPr>
            <w:r>
              <w:rPr>
                <w:color w:val="auto"/>
                <w:sz w:val="24"/>
              </w:rPr>
              <w:t>施工期噪声主要来自施工机械噪声、作业噪声、运输噪声。施工机械噪声，如混泥土搅拌机、吊机作业等，施工期短，噪声强度不大；施工作业噪声主要指一些零星的敲打声、装卸建材的撞击声、施工人员的吆喝声、拆装模板的撞击声等，多为瞬间噪声；运输车辆的噪声属于交通噪声，为移动噪声。</w:t>
            </w:r>
          </w:p>
          <w:p>
            <w:pPr>
              <w:widowControl/>
              <w:adjustRightInd w:val="0"/>
              <w:snapToGrid w:val="0"/>
              <w:spacing w:line="360" w:lineRule="auto"/>
              <w:ind w:firstLine="480" w:firstLineChars="200"/>
              <w:jc w:val="left"/>
              <w:rPr>
                <w:color w:val="auto"/>
                <w:sz w:val="24"/>
              </w:rPr>
            </w:pPr>
            <w:r>
              <w:rPr>
                <w:color w:val="auto"/>
                <w:sz w:val="24"/>
              </w:rPr>
              <w:t>施工期噪声环保对策建议：</w:t>
            </w:r>
          </w:p>
          <w:p>
            <w:pPr>
              <w:widowControl/>
              <w:adjustRightInd w:val="0"/>
              <w:snapToGrid w:val="0"/>
              <w:spacing w:line="360" w:lineRule="auto"/>
              <w:ind w:firstLine="480" w:firstLineChars="200"/>
              <w:jc w:val="left"/>
              <w:rPr>
                <w:color w:val="auto"/>
                <w:sz w:val="24"/>
              </w:rPr>
            </w:pPr>
            <w:r>
              <w:rPr>
                <w:color w:val="auto"/>
                <w:sz w:val="24"/>
              </w:rPr>
              <w:t>（1）执行《建筑施工场界环境噪声排放标准》（GB12523-2011）对施工阶段的噪声要求，禁止在夜间施工。</w:t>
            </w:r>
          </w:p>
          <w:p>
            <w:pPr>
              <w:widowControl/>
              <w:adjustRightInd w:val="0"/>
              <w:snapToGrid w:val="0"/>
              <w:spacing w:line="360" w:lineRule="auto"/>
              <w:ind w:firstLine="480" w:firstLineChars="200"/>
              <w:jc w:val="left"/>
              <w:rPr>
                <w:color w:val="auto"/>
                <w:sz w:val="24"/>
              </w:rPr>
            </w:pPr>
            <w:r>
              <w:rPr>
                <w:color w:val="auto"/>
                <w:sz w:val="24"/>
              </w:rPr>
              <w:t>（2）工地周围设立维护屏障，同时也可在高噪声设备附近加设可移动的简易隔声屏，尽可能减少设备噪声对环境的影响。</w:t>
            </w:r>
          </w:p>
          <w:p>
            <w:pPr>
              <w:widowControl/>
              <w:adjustRightInd w:val="0"/>
              <w:snapToGrid w:val="0"/>
              <w:spacing w:line="360" w:lineRule="auto"/>
              <w:ind w:firstLine="480" w:firstLineChars="200"/>
              <w:jc w:val="left"/>
              <w:rPr>
                <w:color w:val="auto"/>
                <w:sz w:val="24"/>
              </w:rPr>
            </w:pPr>
            <w:r>
              <w:rPr>
                <w:color w:val="auto"/>
                <w:sz w:val="24"/>
              </w:rPr>
              <w:t>（3）加强施工区附近交通管理，避免交通堵塞而引起的车辆鸣号。</w:t>
            </w:r>
          </w:p>
          <w:p>
            <w:pPr>
              <w:widowControl/>
              <w:adjustRightInd w:val="0"/>
              <w:snapToGrid w:val="0"/>
              <w:spacing w:line="360" w:lineRule="auto"/>
              <w:ind w:firstLine="480" w:firstLineChars="200"/>
              <w:jc w:val="left"/>
              <w:rPr>
                <w:color w:val="auto"/>
                <w:sz w:val="24"/>
              </w:rPr>
            </w:pPr>
            <w:r>
              <w:rPr>
                <w:color w:val="auto"/>
                <w:sz w:val="24"/>
              </w:rPr>
              <w:t>（4）控制施工噪声对周围的影响，《建筑施工场界环境噪声排放标准》（GB12523-2011）表1的要求，白天场地边界噪声不应超过70dB（A），夜间须低于55dB（A）。</w:t>
            </w:r>
          </w:p>
          <w:p>
            <w:pPr>
              <w:widowControl/>
              <w:adjustRightInd w:val="0"/>
              <w:snapToGrid w:val="0"/>
              <w:spacing w:line="360" w:lineRule="auto"/>
              <w:jc w:val="left"/>
              <w:rPr>
                <w:b/>
                <w:bCs/>
                <w:color w:val="auto"/>
                <w:sz w:val="24"/>
              </w:rPr>
            </w:pPr>
            <w:r>
              <w:rPr>
                <w:b/>
                <w:bCs/>
                <w:color w:val="auto"/>
                <w:sz w:val="24"/>
              </w:rPr>
              <w:t>4、固体废物</w:t>
            </w:r>
          </w:p>
          <w:p>
            <w:pPr>
              <w:widowControl/>
              <w:adjustRightInd w:val="0"/>
              <w:snapToGrid w:val="0"/>
              <w:spacing w:line="360" w:lineRule="auto"/>
              <w:ind w:firstLine="480" w:firstLineChars="200"/>
              <w:jc w:val="left"/>
              <w:rPr>
                <w:color w:val="auto"/>
                <w:sz w:val="24"/>
              </w:rPr>
            </w:pPr>
            <w:r>
              <w:rPr>
                <w:color w:val="auto"/>
                <w:sz w:val="24"/>
              </w:rPr>
              <w:t>固体废物主要来源于施工过程中产生的建筑垃圾和施工人员的进驻产生的生活垃圾，均属一般固体废物。</w:t>
            </w:r>
          </w:p>
          <w:p>
            <w:pPr>
              <w:widowControl/>
              <w:adjustRightInd w:val="0"/>
              <w:snapToGrid w:val="0"/>
              <w:spacing w:line="360" w:lineRule="auto"/>
              <w:ind w:firstLine="480" w:firstLineChars="200"/>
              <w:jc w:val="left"/>
              <w:rPr>
                <w:color w:val="auto"/>
              </w:rPr>
            </w:pPr>
            <w:r>
              <w:rPr>
                <w:color w:val="auto"/>
                <w:sz w:val="24"/>
              </w:rPr>
              <w:t>施工过程中产生的少量建筑垃圾可送至建筑垃圾填埋场统一处置。生活垃圾分类处理后由环卫工人统一处理。在装卸、清理建筑垃圾和施工人员生活垃圾时，车辆要采用密闭槽车。固废均得到妥善处置，不会对周围环境产生明显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94" w:hRule="atLeast"/>
          <w:jc w:val="center"/>
        </w:trPr>
        <w:tc>
          <w:tcPr>
            <w:tcW w:w="594" w:type="dxa"/>
            <w:noWrap/>
            <w:tcMar>
              <w:left w:w="28" w:type="dxa"/>
              <w:right w:w="28" w:type="dxa"/>
            </w:tcMar>
            <w:vAlign w:val="center"/>
          </w:tcPr>
          <w:p>
            <w:pPr>
              <w:adjustRightInd w:val="0"/>
              <w:snapToGrid w:val="0"/>
              <w:jc w:val="center"/>
              <w:rPr>
                <w:bCs/>
                <w:color w:val="auto"/>
                <w:sz w:val="24"/>
              </w:rPr>
            </w:pPr>
            <w:r>
              <w:rPr>
                <w:bCs/>
                <w:color w:val="auto"/>
                <w:sz w:val="24"/>
              </w:rPr>
              <w:t>运</w:t>
            </w:r>
          </w:p>
          <w:p>
            <w:pPr>
              <w:adjustRightInd w:val="0"/>
              <w:snapToGrid w:val="0"/>
              <w:jc w:val="center"/>
              <w:rPr>
                <w:bCs/>
                <w:color w:val="auto"/>
                <w:sz w:val="24"/>
              </w:rPr>
            </w:pPr>
            <w:r>
              <w:rPr>
                <w:bCs/>
                <w:color w:val="auto"/>
                <w:sz w:val="24"/>
              </w:rPr>
              <w:t>营</w:t>
            </w:r>
          </w:p>
          <w:p>
            <w:pPr>
              <w:adjustRightInd w:val="0"/>
              <w:snapToGrid w:val="0"/>
              <w:jc w:val="center"/>
              <w:rPr>
                <w:bCs/>
                <w:color w:val="auto"/>
                <w:sz w:val="24"/>
              </w:rPr>
            </w:pPr>
            <w:r>
              <w:rPr>
                <w:bCs/>
                <w:color w:val="auto"/>
                <w:sz w:val="24"/>
              </w:rPr>
              <w:t>期</w:t>
            </w:r>
          </w:p>
          <w:p>
            <w:pPr>
              <w:adjustRightInd w:val="0"/>
              <w:snapToGrid w:val="0"/>
              <w:jc w:val="center"/>
              <w:rPr>
                <w:bCs/>
                <w:color w:val="auto"/>
                <w:sz w:val="24"/>
              </w:rPr>
            </w:pPr>
            <w:r>
              <w:rPr>
                <w:bCs/>
                <w:color w:val="auto"/>
                <w:sz w:val="24"/>
              </w:rPr>
              <w:t>环</w:t>
            </w:r>
          </w:p>
          <w:p>
            <w:pPr>
              <w:adjustRightInd w:val="0"/>
              <w:snapToGrid w:val="0"/>
              <w:jc w:val="center"/>
              <w:rPr>
                <w:bCs/>
                <w:color w:val="auto"/>
                <w:sz w:val="24"/>
              </w:rPr>
            </w:pPr>
            <w:r>
              <w:rPr>
                <w:bCs/>
                <w:color w:val="auto"/>
                <w:sz w:val="24"/>
              </w:rPr>
              <w:t>境</w:t>
            </w:r>
          </w:p>
          <w:p>
            <w:pPr>
              <w:adjustRightInd w:val="0"/>
              <w:snapToGrid w:val="0"/>
              <w:jc w:val="center"/>
              <w:rPr>
                <w:bCs/>
                <w:color w:val="auto"/>
                <w:sz w:val="24"/>
              </w:rPr>
            </w:pPr>
            <w:r>
              <w:rPr>
                <w:bCs/>
                <w:color w:val="auto"/>
                <w:sz w:val="24"/>
              </w:rPr>
              <w:t>影</w:t>
            </w:r>
          </w:p>
          <w:p>
            <w:pPr>
              <w:adjustRightInd w:val="0"/>
              <w:snapToGrid w:val="0"/>
              <w:jc w:val="center"/>
              <w:rPr>
                <w:bCs/>
                <w:color w:val="auto"/>
                <w:sz w:val="24"/>
              </w:rPr>
            </w:pPr>
            <w:r>
              <w:rPr>
                <w:bCs/>
                <w:color w:val="auto"/>
                <w:sz w:val="24"/>
              </w:rPr>
              <w:t>响</w:t>
            </w:r>
          </w:p>
          <w:p>
            <w:pPr>
              <w:adjustRightInd w:val="0"/>
              <w:snapToGrid w:val="0"/>
              <w:jc w:val="center"/>
              <w:rPr>
                <w:bCs/>
                <w:color w:val="auto"/>
                <w:sz w:val="24"/>
              </w:rPr>
            </w:pPr>
            <w:r>
              <w:rPr>
                <w:bCs/>
                <w:color w:val="auto"/>
                <w:sz w:val="24"/>
              </w:rPr>
              <w:t>和</w:t>
            </w:r>
          </w:p>
          <w:p>
            <w:pPr>
              <w:adjustRightInd w:val="0"/>
              <w:snapToGrid w:val="0"/>
              <w:jc w:val="center"/>
              <w:rPr>
                <w:bCs/>
                <w:color w:val="auto"/>
                <w:sz w:val="24"/>
              </w:rPr>
            </w:pPr>
            <w:r>
              <w:rPr>
                <w:bCs/>
                <w:color w:val="auto"/>
                <w:sz w:val="24"/>
              </w:rPr>
              <w:t>保</w:t>
            </w:r>
          </w:p>
          <w:p>
            <w:pPr>
              <w:adjustRightInd w:val="0"/>
              <w:snapToGrid w:val="0"/>
              <w:jc w:val="center"/>
              <w:rPr>
                <w:bCs/>
                <w:color w:val="auto"/>
                <w:sz w:val="24"/>
              </w:rPr>
            </w:pPr>
            <w:r>
              <w:rPr>
                <w:bCs/>
                <w:color w:val="auto"/>
                <w:sz w:val="24"/>
              </w:rPr>
              <w:t>护</w:t>
            </w:r>
          </w:p>
          <w:p>
            <w:pPr>
              <w:adjustRightInd w:val="0"/>
              <w:snapToGrid w:val="0"/>
              <w:jc w:val="center"/>
              <w:rPr>
                <w:bCs/>
                <w:color w:val="auto"/>
                <w:sz w:val="24"/>
              </w:rPr>
            </w:pPr>
            <w:r>
              <w:rPr>
                <w:bCs/>
                <w:color w:val="auto"/>
                <w:sz w:val="24"/>
              </w:rPr>
              <w:t>措</w:t>
            </w:r>
          </w:p>
          <w:p>
            <w:pPr>
              <w:pStyle w:val="16"/>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bCs/>
                <w:color w:val="auto"/>
                <w:szCs w:val="24"/>
              </w:rPr>
              <w:t>施</w:t>
            </w:r>
          </w:p>
        </w:tc>
        <w:tc>
          <w:tcPr>
            <w:tcW w:w="8387" w:type="dxa"/>
            <w:noWrap/>
          </w:tcPr>
          <w:p>
            <w:pPr>
              <w:widowControl/>
              <w:adjustRightInd w:val="0"/>
              <w:snapToGrid w:val="0"/>
              <w:spacing w:line="360" w:lineRule="auto"/>
              <w:jc w:val="left"/>
              <w:rPr>
                <w:b/>
                <w:bCs/>
                <w:color w:val="auto"/>
                <w:sz w:val="24"/>
              </w:rPr>
            </w:pPr>
            <w:r>
              <w:rPr>
                <w:b/>
                <w:bCs/>
                <w:color w:val="auto"/>
                <w:sz w:val="24"/>
              </w:rPr>
              <w:t>1</w:t>
            </w:r>
            <w:r>
              <w:rPr>
                <w:b/>
                <w:bCs/>
                <w:color w:val="auto"/>
              </w:rPr>
              <w:t>、</w:t>
            </w:r>
            <w:r>
              <w:rPr>
                <w:b/>
                <w:bCs/>
                <w:color w:val="auto"/>
                <w:sz w:val="24"/>
              </w:rPr>
              <w:t>大气环境影响分析</w:t>
            </w:r>
          </w:p>
          <w:p>
            <w:pPr>
              <w:widowControl/>
              <w:adjustRightInd w:val="0"/>
              <w:snapToGrid w:val="0"/>
              <w:spacing w:line="360" w:lineRule="auto"/>
              <w:ind w:firstLine="480" w:firstLineChars="200"/>
              <w:jc w:val="left"/>
              <w:rPr>
                <w:color w:val="auto"/>
                <w:sz w:val="24"/>
              </w:rPr>
            </w:pPr>
            <w:r>
              <w:rPr>
                <w:color w:val="auto"/>
                <w:sz w:val="24"/>
              </w:rPr>
              <w:t>本项目危险化学品仓库贮存过程中化学品均为密闭桶装，不涉及分装、充装，正常贮存过程中基本无废气产生，仅在发生泄漏事故导致包装桶破损会有少量废气产生，企业定期检查化学品贮存情况，并配备有可燃气体自动检测/泄漏报警，一旦发生泄漏事故，采取措施堵塞和修补裂口，制止进一步泄漏，本次评价仅定性分析。</w:t>
            </w:r>
          </w:p>
          <w:p>
            <w:pPr>
              <w:jc w:val="center"/>
              <w:rPr>
                <w:b/>
                <w:bCs/>
                <w:color w:val="auto"/>
                <w:szCs w:val="21"/>
              </w:rPr>
            </w:pPr>
            <w:r>
              <w:rPr>
                <w:b/>
                <w:bCs/>
                <w:color w:val="auto"/>
                <w:szCs w:val="21"/>
              </w:rPr>
              <w:t>表4-1本项目废气监测计划表</w:t>
            </w:r>
          </w:p>
          <w:tbl>
            <w:tblPr>
              <w:tblStyle w:val="20"/>
              <w:tblW w:w="8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665"/>
              <w:gridCol w:w="1425"/>
              <w:gridCol w:w="1125"/>
              <w:gridCol w:w="2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29" w:type="dxa"/>
                  <w:vAlign w:val="center"/>
                </w:tcPr>
                <w:p>
                  <w:pPr>
                    <w:spacing w:line="264" w:lineRule="auto"/>
                    <w:jc w:val="center"/>
                    <w:rPr>
                      <w:color w:val="auto"/>
                      <w:szCs w:val="21"/>
                    </w:rPr>
                  </w:pPr>
                  <w:r>
                    <w:rPr>
                      <w:color w:val="auto"/>
                      <w:szCs w:val="21"/>
                    </w:rPr>
                    <w:t>监测项目</w:t>
                  </w:r>
                </w:p>
              </w:tc>
              <w:tc>
                <w:tcPr>
                  <w:tcW w:w="1665" w:type="dxa"/>
                  <w:vAlign w:val="center"/>
                </w:tcPr>
                <w:p>
                  <w:pPr>
                    <w:spacing w:line="264" w:lineRule="auto"/>
                    <w:jc w:val="center"/>
                    <w:rPr>
                      <w:color w:val="auto"/>
                      <w:szCs w:val="21"/>
                    </w:rPr>
                  </w:pPr>
                  <w:r>
                    <w:rPr>
                      <w:color w:val="auto"/>
                      <w:szCs w:val="21"/>
                    </w:rPr>
                    <w:t>监测点设置</w:t>
                  </w:r>
                </w:p>
              </w:tc>
              <w:tc>
                <w:tcPr>
                  <w:tcW w:w="1425" w:type="dxa"/>
                  <w:vAlign w:val="center"/>
                </w:tcPr>
                <w:p>
                  <w:pPr>
                    <w:spacing w:line="264" w:lineRule="auto"/>
                    <w:jc w:val="center"/>
                    <w:rPr>
                      <w:color w:val="auto"/>
                      <w:szCs w:val="21"/>
                    </w:rPr>
                  </w:pPr>
                  <w:r>
                    <w:rPr>
                      <w:color w:val="auto"/>
                      <w:szCs w:val="21"/>
                    </w:rPr>
                    <w:t>监测内容</w:t>
                  </w:r>
                </w:p>
              </w:tc>
              <w:tc>
                <w:tcPr>
                  <w:tcW w:w="1125" w:type="dxa"/>
                  <w:vAlign w:val="center"/>
                </w:tcPr>
                <w:p>
                  <w:pPr>
                    <w:spacing w:line="264" w:lineRule="auto"/>
                    <w:jc w:val="center"/>
                    <w:rPr>
                      <w:color w:val="auto"/>
                      <w:szCs w:val="21"/>
                    </w:rPr>
                  </w:pPr>
                  <w:r>
                    <w:rPr>
                      <w:color w:val="auto"/>
                      <w:szCs w:val="21"/>
                    </w:rPr>
                    <w:t>监测频率</w:t>
                  </w:r>
                </w:p>
              </w:tc>
              <w:tc>
                <w:tcPr>
                  <w:tcW w:w="2827" w:type="dxa"/>
                  <w:vAlign w:val="center"/>
                </w:tcPr>
                <w:p>
                  <w:pPr>
                    <w:spacing w:line="264" w:lineRule="auto"/>
                    <w:jc w:val="center"/>
                    <w:rPr>
                      <w:color w:val="auto"/>
                      <w:szCs w:val="21"/>
                    </w:rPr>
                  </w:pPr>
                  <w:r>
                    <w:rPr>
                      <w:color w:val="auto"/>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2"/>
                    <w:adjustRightInd/>
                    <w:spacing w:line="264" w:lineRule="auto"/>
                    <w:jc w:val="center"/>
                    <w:outlineLvl w:val="2"/>
                    <w:rPr>
                      <w:rFonts w:ascii="Times New Roman" w:hAnsi="Times New Roman"/>
                      <w:color w:val="auto"/>
                      <w:sz w:val="21"/>
                      <w:szCs w:val="21"/>
                    </w:rPr>
                  </w:pPr>
                  <w:r>
                    <w:rPr>
                      <w:rFonts w:ascii="Times New Roman" w:hAnsi="Times New Roman"/>
                      <w:color w:val="auto"/>
                      <w:sz w:val="21"/>
                      <w:szCs w:val="21"/>
                    </w:rPr>
                    <w:t>废气</w:t>
                  </w:r>
                </w:p>
              </w:tc>
              <w:tc>
                <w:tcPr>
                  <w:tcW w:w="1665" w:type="dxa"/>
                  <w:vAlign w:val="center"/>
                </w:tcPr>
                <w:p>
                  <w:pPr>
                    <w:spacing w:line="264" w:lineRule="auto"/>
                    <w:jc w:val="center"/>
                    <w:rPr>
                      <w:color w:val="auto"/>
                      <w:szCs w:val="21"/>
                    </w:rPr>
                  </w:pPr>
                  <w:r>
                    <w:rPr>
                      <w:color w:val="auto"/>
                      <w:szCs w:val="21"/>
                    </w:rPr>
                    <w:t>厂界（上风向1个、下风向3个）</w:t>
                  </w:r>
                </w:p>
              </w:tc>
              <w:tc>
                <w:tcPr>
                  <w:tcW w:w="1425" w:type="dxa"/>
                  <w:vAlign w:val="center"/>
                </w:tcPr>
                <w:p>
                  <w:pPr>
                    <w:spacing w:line="264" w:lineRule="auto"/>
                    <w:jc w:val="center"/>
                    <w:rPr>
                      <w:color w:val="auto"/>
                      <w:szCs w:val="21"/>
                    </w:rPr>
                  </w:pPr>
                  <w:r>
                    <w:rPr>
                      <w:color w:val="auto"/>
                      <w:szCs w:val="21"/>
                    </w:rPr>
                    <w:t>非甲烷总烃</w:t>
                  </w:r>
                </w:p>
              </w:tc>
              <w:tc>
                <w:tcPr>
                  <w:tcW w:w="1125" w:type="dxa"/>
                  <w:vAlign w:val="center"/>
                </w:tcPr>
                <w:p>
                  <w:pPr>
                    <w:spacing w:line="264" w:lineRule="auto"/>
                    <w:jc w:val="center"/>
                    <w:rPr>
                      <w:color w:val="auto"/>
                      <w:szCs w:val="21"/>
                    </w:rPr>
                  </w:pPr>
                  <w:r>
                    <w:rPr>
                      <w:color w:val="auto"/>
                      <w:szCs w:val="21"/>
                    </w:rPr>
                    <w:t>1次/年</w:t>
                  </w:r>
                </w:p>
              </w:tc>
              <w:tc>
                <w:tcPr>
                  <w:tcW w:w="2827" w:type="dxa"/>
                  <w:vAlign w:val="center"/>
                </w:tcPr>
                <w:p>
                  <w:pPr>
                    <w:spacing w:line="264" w:lineRule="auto"/>
                    <w:jc w:val="center"/>
                    <w:rPr>
                      <w:snapToGrid w:val="0"/>
                      <w:color w:val="auto"/>
                      <w:kern w:val="0"/>
                      <w:szCs w:val="21"/>
                    </w:rPr>
                  </w:pPr>
                  <w:r>
                    <w:rPr>
                      <w:color w:val="auto"/>
                      <w:szCs w:val="21"/>
                    </w:rPr>
                    <w:t>《大气污染物综合排放标准》（DB32/4041-2021）表3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2"/>
                    <w:adjustRightInd/>
                    <w:spacing w:line="264" w:lineRule="auto"/>
                    <w:jc w:val="center"/>
                    <w:outlineLvl w:val="2"/>
                    <w:rPr>
                      <w:rFonts w:ascii="Times New Roman" w:hAnsi="Times New Roman"/>
                      <w:color w:val="auto"/>
                      <w:sz w:val="21"/>
                      <w:szCs w:val="21"/>
                    </w:rPr>
                  </w:pPr>
                </w:p>
              </w:tc>
              <w:tc>
                <w:tcPr>
                  <w:tcW w:w="1665" w:type="dxa"/>
                  <w:vAlign w:val="center"/>
                </w:tcPr>
                <w:p>
                  <w:pPr>
                    <w:spacing w:line="264" w:lineRule="auto"/>
                    <w:jc w:val="center"/>
                    <w:rPr>
                      <w:color w:val="auto"/>
                      <w:szCs w:val="21"/>
                    </w:rPr>
                  </w:pPr>
                  <w:r>
                    <w:rPr>
                      <w:color w:val="auto"/>
                      <w:szCs w:val="21"/>
                    </w:rPr>
                    <w:t>厂区内</w:t>
                  </w:r>
                </w:p>
              </w:tc>
              <w:tc>
                <w:tcPr>
                  <w:tcW w:w="1425" w:type="dxa"/>
                  <w:vAlign w:val="center"/>
                </w:tcPr>
                <w:p>
                  <w:pPr>
                    <w:spacing w:line="264" w:lineRule="auto"/>
                    <w:jc w:val="center"/>
                    <w:rPr>
                      <w:color w:val="auto"/>
                      <w:szCs w:val="21"/>
                    </w:rPr>
                  </w:pPr>
                  <w:r>
                    <w:rPr>
                      <w:color w:val="auto"/>
                      <w:szCs w:val="21"/>
                    </w:rPr>
                    <w:t>非甲烷总烃</w:t>
                  </w:r>
                </w:p>
              </w:tc>
              <w:tc>
                <w:tcPr>
                  <w:tcW w:w="1125" w:type="dxa"/>
                  <w:vAlign w:val="center"/>
                </w:tcPr>
                <w:p>
                  <w:pPr>
                    <w:spacing w:line="264" w:lineRule="auto"/>
                    <w:jc w:val="center"/>
                    <w:rPr>
                      <w:color w:val="auto"/>
                      <w:szCs w:val="21"/>
                    </w:rPr>
                  </w:pPr>
                  <w:r>
                    <w:rPr>
                      <w:color w:val="auto"/>
                      <w:szCs w:val="21"/>
                    </w:rPr>
                    <w:t>1次/年</w:t>
                  </w:r>
                </w:p>
              </w:tc>
              <w:tc>
                <w:tcPr>
                  <w:tcW w:w="2827" w:type="dxa"/>
                  <w:vAlign w:val="center"/>
                </w:tcPr>
                <w:p>
                  <w:pPr>
                    <w:spacing w:line="264" w:lineRule="auto"/>
                    <w:jc w:val="center"/>
                    <w:rPr>
                      <w:snapToGrid w:val="0"/>
                      <w:color w:val="auto"/>
                      <w:kern w:val="0"/>
                      <w:szCs w:val="21"/>
                    </w:rPr>
                  </w:pPr>
                  <w:r>
                    <w:rPr>
                      <w:color w:val="auto"/>
                      <w:szCs w:val="21"/>
                    </w:rPr>
                    <w:t>《大气污染物综合排放标准》（DB32/4041-2021）表2</w:t>
                  </w:r>
                </w:p>
              </w:tc>
            </w:tr>
          </w:tbl>
          <w:p>
            <w:pPr>
              <w:widowControl/>
              <w:adjustRightInd w:val="0"/>
              <w:snapToGrid w:val="0"/>
              <w:spacing w:line="360" w:lineRule="auto"/>
              <w:jc w:val="left"/>
              <w:rPr>
                <w:b/>
                <w:bCs/>
                <w:color w:val="auto"/>
                <w:sz w:val="24"/>
              </w:rPr>
            </w:pPr>
            <w:r>
              <w:rPr>
                <w:b/>
                <w:bCs/>
                <w:color w:val="auto"/>
                <w:sz w:val="24"/>
              </w:rPr>
              <w:t>2、水环境影响分析</w:t>
            </w:r>
          </w:p>
          <w:p>
            <w:pPr>
              <w:widowControl/>
              <w:adjustRightInd w:val="0"/>
              <w:snapToGrid w:val="0"/>
              <w:spacing w:line="360" w:lineRule="auto"/>
              <w:ind w:firstLine="480" w:firstLineChars="200"/>
              <w:jc w:val="left"/>
              <w:rPr>
                <w:color w:val="auto"/>
              </w:rPr>
            </w:pPr>
            <w:r>
              <w:rPr>
                <w:color w:val="auto"/>
                <w:sz w:val="24"/>
              </w:rPr>
              <w:t>本项目不新增员工，不新增生活污水；本项目不涉及生产废水。</w:t>
            </w:r>
          </w:p>
          <w:p>
            <w:pPr>
              <w:widowControl/>
              <w:adjustRightInd w:val="0"/>
              <w:snapToGrid w:val="0"/>
              <w:spacing w:line="360" w:lineRule="auto"/>
              <w:jc w:val="left"/>
              <w:rPr>
                <w:b/>
                <w:bCs/>
                <w:color w:val="auto"/>
                <w:sz w:val="24"/>
              </w:rPr>
            </w:pPr>
            <w:r>
              <w:rPr>
                <w:b/>
                <w:bCs/>
                <w:color w:val="auto"/>
                <w:sz w:val="24"/>
              </w:rPr>
              <w:t>3、声环境影响分析</w:t>
            </w:r>
          </w:p>
          <w:p>
            <w:pPr>
              <w:widowControl/>
              <w:adjustRightInd w:val="0"/>
              <w:snapToGrid w:val="0"/>
              <w:spacing w:line="360" w:lineRule="auto"/>
              <w:ind w:firstLine="480" w:firstLineChars="200"/>
              <w:jc w:val="left"/>
              <w:rPr>
                <w:color w:val="auto"/>
                <w:spacing w:val="-1"/>
                <w:sz w:val="24"/>
              </w:rPr>
            </w:pPr>
            <w:r>
              <w:rPr>
                <w:color w:val="auto"/>
                <w:sz w:val="24"/>
              </w:rPr>
              <w:t>本项目为新建自用危险化学品专用仓库项目，无生产设备，在叉车出入库时会产生噪声，但叉车为电动型，噪声量小，且为移动源，不做定量分析。</w:t>
            </w:r>
          </w:p>
          <w:p>
            <w:pPr>
              <w:widowControl/>
              <w:adjustRightInd w:val="0"/>
              <w:snapToGrid w:val="0"/>
              <w:spacing w:line="360" w:lineRule="auto"/>
              <w:jc w:val="left"/>
              <w:rPr>
                <w:color w:val="auto"/>
                <w:sz w:val="24"/>
              </w:rPr>
            </w:pPr>
            <w:r>
              <w:rPr>
                <w:b/>
                <w:bCs/>
                <w:color w:val="auto"/>
                <w:sz w:val="24"/>
              </w:rPr>
              <w:t>4、固体废物影响分析</w:t>
            </w:r>
          </w:p>
          <w:p>
            <w:pPr>
              <w:pStyle w:val="46"/>
              <w:tabs>
                <w:tab w:val="left" w:pos="1200"/>
              </w:tabs>
              <w:snapToGrid w:val="0"/>
              <w:spacing w:after="0" w:line="360" w:lineRule="auto"/>
              <w:ind w:left="0" w:leftChars="0" w:firstLine="482" w:firstLineChars="200"/>
              <w:jc w:val="left"/>
              <w:rPr>
                <w:rFonts w:ascii="Times New Roman" w:hAnsi="Times New Roman" w:cs="Times New Roman"/>
                <w:color w:val="auto"/>
              </w:rPr>
            </w:pPr>
            <w:r>
              <w:rPr>
                <w:rFonts w:ascii="Times New Roman" w:hAnsi="Times New Roman" w:cs="Times New Roman"/>
                <w:b/>
                <w:bCs/>
                <w:color w:val="auto"/>
                <w:szCs w:val="24"/>
              </w:rPr>
              <w:t>4.1固态废物产生环节</w:t>
            </w:r>
          </w:p>
          <w:p>
            <w:pPr>
              <w:widowControl/>
              <w:spacing w:line="360" w:lineRule="auto"/>
              <w:ind w:firstLine="480" w:firstLineChars="200"/>
              <w:jc w:val="left"/>
              <w:rPr>
                <w:color w:val="auto"/>
                <w:kern w:val="0"/>
                <w:sz w:val="24"/>
              </w:rPr>
            </w:pPr>
            <w:r>
              <w:rPr>
                <w:color w:val="auto"/>
                <w:kern w:val="0"/>
                <w:sz w:val="24"/>
              </w:rPr>
              <w:t>本项目扩建后全厂员工不增加，不新增生活垃圾，不新增危废，一般固废全部外售。</w:t>
            </w:r>
          </w:p>
          <w:p>
            <w:pPr>
              <w:widowControl/>
              <w:spacing w:line="360" w:lineRule="auto"/>
              <w:ind w:firstLine="480" w:firstLineChars="200"/>
              <w:jc w:val="left"/>
              <w:rPr>
                <w:color w:val="auto"/>
                <w:kern w:val="0"/>
                <w:sz w:val="24"/>
              </w:rPr>
            </w:pPr>
            <w:r>
              <w:rPr>
                <w:color w:val="auto"/>
                <w:kern w:val="0"/>
                <w:sz w:val="24"/>
              </w:rPr>
              <w:t>根据《固体废物鉴别标准通则》（GB34330-2017）的规定，判断其是否属于固体废物，给出判定依据及结果，固废/副产物产生情况见下表。</w:t>
            </w:r>
          </w:p>
          <w:p>
            <w:pPr>
              <w:jc w:val="center"/>
              <w:rPr>
                <w:b/>
                <w:bCs/>
                <w:color w:val="auto"/>
                <w:szCs w:val="21"/>
              </w:rPr>
            </w:pPr>
            <w:r>
              <w:rPr>
                <w:b/>
                <w:bCs/>
                <w:color w:val="auto"/>
                <w:szCs w:val="21"/>
              </w:rPr>
              <w:t>表4-2本项目扩建后全厂固废/副产物产生情况一览表</w:t>
            </w:r>
          </w:p>
          <w:tbl>
            <w:tblPr>
              <w:tblStyle w:val="19"/>
              <w:tblW w:w="0" w:type="auto"/>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375"/>
              <w:gridCol w:w="709"/>
              <w:gridCol w:w="601"/>
              <w:gridCol w:w="487"/>
              <w:gridCol w:w="822"/>
              <w:gridCol w:w="705"/>
              <w:gridCol w:w="800"/>
              <w:gridCol w:w="829"/>
              <w:gridCol w:w="918"/>
              <w:gridCol w:w="2083"/>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379" w:type="dxa"/>
                  <w:vMerge w:val="restart"/>
                  <w:tcBorders>
                    <w:tl2br w:val="nil"/>
                    <w:tr2bl w:val="nil"/>
                  </w:tcBorders>
                  <w:noWrap/>
                  <w:tcMar>
                    <w:left w:w="28" w:type="dxa"/>
                    <w:right w:w="28" w:type="dxa"/>
                  </w:tcMar>
                  <w:vAlign w:val="center"/>
                </w:tcPr>
                <w:p>
                  <w:pPr>
                    <w:jc w:val="center"/>
                    <w:rPr>
                      <w:b/>
                      <w:bCs/>
                      <w:color w:val="auto"/>
                      <w:szCs w:val="21"/>
                    </w:rPr>
                  </w:pPr>
                  <w:r>
                    <w:rPr>
                      <w:b/>
                      <w:bCs/>
                      <w:color w:val="auto"/>
                      <w:szCs w:val="21"/>
                    </w:rPr>
                    <w:t>序号</w:t>
                  </w:r>
                </w:p>
              </w:tc>
              <w:tc>
                <w:tcPr>
                  <w:tcW w:w="718" w:type="dxa"/>
                  <w:vMerge w:val="restart"/>
                  <w:tcBorders>
                    <w:tl2br w:val="nil"/>
                    <w:tr2bl w:val="nil"/>
                  </w:tcBorders>
                  <w:noWrap/>
                  <w:tcMar>
                    <w:left w:w="28" w:type="dxa"/>
                    <w:right w:w="28" w:type="dxa"/>
                  </w:tcMar>
                  <w:vAlign w:val="center"/>
                </w:tcPr>
                <w:p>
                  <w:pPr>
                    <w:jc w:val="center"/>
                    <w:rPr>
                      <w:b/>
                      <w:bCs/>
                      <w:color w:val="auto"/>
                      <w:szCs w:val="21"/>
                    </w:rPr>
                  </w:pPr>
                  <w:r>
                    <w:rPr>
                      <w:b/>
                      <w:bCs/>
                      <w:color w:val="auto"/>
                      <w:szCs w:val="21"/>
                    </w:rPr>
                    <w:t>名称</w:t>
                  </w:r>
                </w:p>
              </w:tc>
              <w:tc>
                <w:tcPr>
                  <w:tcW w:w="608" w:type="dxa"/>
                  <w:vMerge w:val="restart"/>
                  <w:tcBorders>
                    <w:tl2br w:val="nil"/>
                    <w:tr2bl w:val="nil"/>
                  </w:tcBorders>
                  <w:noWrap/>
                  <w:tcMar>
                    <w:left w:w="28" w:type="dxa"/>
                    <w:right w:w="28" w:type="dxa"/>
                  </w:tcMar>
                  <w:vAlign w:val="center"/>
                </w:tcPr>
                <w:p>
                  <w:pPr>
                    <w:jc w:val="center"/>
                    <w:rPr>
                      <w:b/>
                      <w:bCs/>
                      <w:color w:val="auto"/>
                      <w:szCs w:val="21"/>
                    </w:rPr>
                  </w:pPr>
                  <w:r>
                    <w:rPr>
                      <w:b/>
                      <w:bCs/>
                      <w:color w:val="auto"/>
                      <w:szCs w:val="21"/>
                    </w:rPr>
                    <w:t>产生工序</w:t>
                  </w:r>
                </w:p>
              </w:tc>
              <w:tc>
                <w:tcPr>
                  <w:tcW w:w="493" w:type="dxa"/>
                  <w:vMerge w:val="restart"/>
                  <w:tcBorders>
                    <w:tl2br w:val="nil"/>
                    <w:tr2bl w:val="nil"/>
                  </w:tcBorders>
                  <w:noWrap/>
                  <w:tcMar>
                    <w:left w:w="28" w:type="dxa"/>
                    <w:right w:w="28" w:type="dxa"/>
                  </w:tcMar>
                  <w:vAlign w:val="center"/>
                </w:tcPr>
                <w:p>
                  <w:pPr>
                    <w:jc w:val="center"/>
                    <w:rPr>
                      <w:b/>
                      <w:bCs/>
                      <w:color w:val="auto"/>
                      <w:szCs w:val="21"/>
                    </w:rPr>
                  </w:pPr>
                  <w:r>
                    <w:rPr>
                      <w:b/>
                      <w:bCs/>
                      <w:color w:val="auto"/>
                      <w:szCs w:val="21"/>
                    </w:rPr>
                    <w:t>相态</w:t>
                  </w:r>
                </w:p>
              </w:tc>
              <w:tc>
                <w:tcPr>
                  <w:tcW w:w="832" w:type="dxa"/>
                  <w:vMerge w:val="restart"/>
                  <w:tcBorders>
                    <w:tl2br w:val="nil"/>
                    <w:tr2bl w:val="nil"/>
                  </w:tcBorders>
                  <w:noWrap/>
                  <w:tcMar>
                    <w:left w:w="28" w:type="dxa"/>
                    <w:right w:w="28" w:type="dxa"/>
                  </w:tcMar>
                  <w:vAlign w:val="center"/>
                </w:tcPr>
                <w:p>
                  <w:pPr>
                    <w:jc w:val="center"/>
                    <w:rPr>
                      <w:b/>
                      <w:bCs/>
                      <w:color w:val="auto"/>
                      <w:szCs w:val="21"/>
                    </w:rPr>
                  </w:pPr>
                  <w:r>
                    <w:rPr>
                      <w:b/>
                      <w:bCs/>
                      <w:color w:val="auto"/>
                      <w:szCs w:val="21"/>
                    </w:rPr>
                    <w:t>主要成分</w:t>
                  </w:r>
                </w:p>
              </w:tc>
              <w:tc>
                <w:tcPr>
                  <w:tcW w:w="2364" w:type="dxa"/>
                  <w:gridSpan w:val="3"/>
                  <w:tcBorders>
                    <w:tl2br w:val="nil"/>
                    <w:tr2bl w:val="nil"/>
                  </w:tcBorders>
                  <w:noWrap/>
                  <w:tcMar>
                    <w:left w:w="28" w:type="dxa"/>
                    <w:right w:w="28" w:type="dxa"/>
                  </w:tcMar>
                  <w:vAlign w:val="center"/>
                </w:tcPr>
                <w:p>
                  <w:pPr>
                    <w:jc w:val="center"/>
                    <w:rPr>
                      <w:b/>
                      <w:bCs/>
                      <w:color w:val="auto"/>
                      <w:szCs w:val="21"/>
                    </w:rPr>
                  </w:pPr>
                  <w:r>
                    <w:rPr>
                      <w:b/>
                      <w:bCs/>
                      <w:color w:val="auto"/>
                      <w:szCs w:val="21"/>
                    </w:rPr>
                    <w:t>年预计产生量（t/a）</w:t>
                  </w:r>
                </w:p>
              </w:tc>
              <w:tc>
                <w:tcPr>
                  <w:tcW w:w="3041" w:type="dxa"/>
                  <w:gridSpan w:val="2"/>
                  <w:tcBorders>
                    <w:tl2br w:val="nil"/>
                    <w:tr2bl w:val="nil"/>
                  </w:tcBorders>
                  <w:noWrap/>
                  <w:tcMar>
                    <w:left w:w="28" w:type="dxa"/>
                    <w:right w:w="28" w:type="dxa"/>
                  </w:tcMar>
                  <w:vAlign w:val="center"/>
                </w:tcPr>
                <w:p>
                  <w:pPr>
                    <w:jc w:val="center"/>
                    <w:rPr>
                      <w:b/>
                      <w:bCs/>
                      <w:color w:val="auto"/>
                      <w:szCs w:val="21"/>
                    </w:rPr>
                  </w:pPr>
                  <w:r>
                    <w:rPr>
                      <w:b/>
                      <w:bCs/>
                      <w:color w:val="auto"/>
                      <w:szCs w:val="21"/>
                    </w:rPr>
                    <w:t>种类判断</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79" w:type="dxa"/>
                  <w:vMerge w:val="continue"/>
                  <w:tcBorders>
                    <w:tl2br w:val="nil"/>
                    <w:tr2bl w:val="nil"/>
                  </w:tcBorders>
                  <w:noWrap/>
                  <w:tcMar>
                    <w:left w:w="28" w:type="dxa"/>
                    <w:right w:w="28" w:type="dxa"/>
                  </w:tcMar>
                  <w:vAlign w:val="center"/>
                </w:tcPr>
                <w:p>
                  <w:pPr>
                    <w:jc w:val="center"/>
                    <w:rPr>
                      <w:b/>
                      <w:bCs/>
                      <w:color w:val="auto"/>
                      <w:szCs w:val="21"/>
                    </w:rPr>
                  </w:pPr>
                </w:p>
              </w:tc>
              <w:tc>
                <w:tcPr>
                  <w:tcW w:w="718" w:type="dxa"/>
                  <w:vMerge w:val="continue"/>
                  <w:tcBorders>
                    <w:tl2br w:val="nil"/>
                    <w:tr2bl w:val="nil"/>
                  </w:tcBorders>
                  <w:noWrap/>
                  <w:tcMar>
                    <w:left w:w="28" w:type="dxa"/>
                    <w:right w:w="28" w:type="dxa"/>
                  </w:tcMar>
                  <w:vAlign w:val="center"/>
                </w:tcPr>
                <w:p>
                  <w:pPr>
                    <w:jc w:val="center"/>
                    <w:rPr>
                      <w:b/>
                      <w:bCs/>
                      <w:color w:val="auto"/>
                      <w:szCs w:val="21"/>
                    </w:rPr>
                  </w:pPr>
                </w:p>
              </w:tc>
              <w:tc>
                <w:tcPr>
                  <w:tcW w:w="608" w:type="dxa"/>
                  <w:vMerge w:val="continue"/>
                  <w:tcBorders>
                    <w:tl2br w:val="nil"/>
                    <w:tr2bl w:val="nil"/>
                  </w:tcBorders>
                  <w:noWrap/>
                  <w:tcMar>
                    <w:left w:w="28" w:type="dxa"/>
                    <w:right w:w="28" w:type="dxa"/>
                  </w:tcMar>
                  <w:vAlign w:val="center"/>
                </w:tcPr>
                <w:p>
                  <w:pPr>
                    <w:jc w:val="center"/>
                    <w:rPr>
                      <w:b/>
                      <w:bCs/>
                      <w:color w:val="auto"/>
                      <w:szCs w:val="21"/>
                    </w:rPr>
                  </w:pPr>
                </w:p>
              </w:tc>
              <w:tc>
                <w:tcPr>
                  <w:tcW w:w="493" w:type="dxa"/>
                  <w:vMerge w:val="continue"/>
                  <w:tcBorders>
                    <w:tl2br w:val="nil"/>
                    <w:tr2bl w:val="nil"/>
                  </w:tcBorders>
                  <w:noWrap/>
                  <w:tcMar>
                    <w:left w:w="28" w:type="dxa"/>
                    <w:right w:w="28" w:type="dxa"/>
                  </w:tcMar>
                  <w:vAlign w:val="center"/>
                </w:tcPr>
                <w:p>
                  <w:pPr>
                    <w:jc w:val="center"/>
                    <w:rPr>
                      <w:b/>
                      <w:bCs/>
                      <w:color w:val="auto"/>
                      <w:szCs w:val="21"/>
                    </w:rPr>
                  </w:pPr>
                </w:p>
              </w:tc>
              <w:tc>
                <w:tcPr>
                  <w:tcW w:w="832" w:type="dxa"/>
                  <w:vMerge w:val="continue"/>
                  <w:tcBorders>
                    <w:tl2br w:val="nil"/>
                    <w:tr2bl w:val="nil"/>
                  </w:tcBorders>
                  <w:noWrap/>
                  <w:tcMar>
                    <w:left w:w="28" w:type="dxa"/>
                    <w:right w:w="28" w:type="dxa"/>
                  </w:tcMar>
                  <w:vAlign w:val="center"/>
                </w:tcPr>
                <w:p>
                  <w:pPr>
                    <w:jc w:val="center"/>
                    <w:rPr>
                      <w:b/>
                      <w:bCs/>
                      <w:color w:val="auto"/>
                      <w:szCs w:val="21"/>
                    </w:rPr>
                  </w:pPr>
                </w:p>
              </w:tc>
              <w:tc>
                <w:tcPr>
                  <w:tcW w:w="714" w:type="dxa"/>
                  <w:tcBorders>
                    <w:tl2br w:val="nil"/>
                    <w:tr2bl w:val="nil"/>
                  </w:tcBorders>
                  <w:noWrap/>
                  <w:tcMar>
                    <w:left w:w="28" w:type="dxa"/>
                    <w:right w:w="28" w:type="dxa"/>
                  </w:tcMar>
                  <w:vAlign w:val="center"/>
                </w:tcPr>
                <w:p>
                  <w:pPr>
                    <w:jc w:val="center"/>
                    <w:rPr>
                      <w:b/>
                      <w:bCs/>
                      <w:color w:val="auto"/>
                      <w:szCs w:val="21"/>
                    </w:rPr>
                  </w:pPr>
                  <w:r>
                    <w:rPr>
                      <w:b/>
                      <w:bCs/>
                      <w:color w:val="auto"/>
                      <w:szCs w:val="21"/>
                    </w:rPr>
                    <w:t>扩建前</w:t>
                  </w:r>
                </w:p>
              </w:tc>
              <w:tc>
                <w:tcPr>
                  <w:tcW w:w="810" w:type="dxa"/>
                  <w:tcBorders>
                    <w:tl2br w:val="nil"/>
                    <w:tr2bl w:val="nil"/>
                  </w:tcBorders>
                  <w:noWrap/>
                  <w:tcMar>
                    <w:left w:w="28" w:type="dxa"/>
                    <w:right w:w="28" w:type="dxa"/>
                  </w:tcMar>
                  <w:vAlign w:val="center"/>
                </w:tcPr>
                <w:p>
                  <w:pPr>
                    <w:jc w:val="center"/>
                    <w:rPr>
                      <w:b/>
                      <w:bCs/>
                      <w:color w:val="auto"/>
                      <w:szCs w:val="21"/>
                    </w:rPr>
                  </w:pPr>
                  <w:r>
                    <w:rPr>
                      <w:b/>
                      <w:bCs/>
                      <w:color w:val="auto"/>
                      <w:szCs w:val="21"/>
                    </w:rPr>
                    <w:t>扩建后</w:t>
                  </w:r>
                </w:p>
              </w:tc>
              <w:tc>
                <w:tcPr>
                  <w:tcW w:w="840" w:type="dxa"/>
                  <w:tcBorders>
                    <w:tl2br w:val="nil"/>
                    <w:tr2bl w:val="nil"/>
                  </w:tcBorders>
                  <w:noWrap/>
                  <w:tcMar>
                    <w:left w:w="28" w:type="dxa"/>
                    <w:right w:w="28" w:type="dxa"/>
                  </w:tcMar>
                  <w:vAlign w:val="center"/>
                </w:tcPr>
                <w:p>
                  <w:pPr>
                    <w:jc w:val="center"/>
                    <w:rPr>
                      <w:b/>
                      <w:bCs/>
                      <w:color w:val="auto"/>
                      <w:szCs w:val="21"/>
                    </w:rPr>
                  </w:pPr>
                  <w:r>
                    <w:rPr>
                      <w:b/>
                      <w:bCs/>
                      <w:color w:val="auto"/>
                      <w:szCs w:val="21"/>
                    </w:rPr>
                    <w:t>增减量</w:t>
                  </w:r>
                </w:p>
              </w:tc>
              <w:tc>
                <w:tcPr>
                  <w:tcW w:w="930" w:type="dxa"/>
                  <w:tcBorders>
                    <w:tl2br w:val="nil"/>
                    <w:tr2bl w:val="nil"/>
                  </w:tcBorders>
                  <w:noWrap/>
                  <w:tcMar>
                    <w:left w:w="28" w:type="dxa"/>
                    <w:right w:w="28" w:type="dxa"/>
                  </w:tcMar>
                  <w:vAlign w:val="center"/>
                </w:tcPr>
                <w:p>
                  <w:pPr>
                    <w:jc w:val="center"/>
                    <w:rPr>
                      <w:b/>
                      <w:bCs/>
                      <w:color w:val="auto"/>
                      <w:szCs w:val="21"/>
                    </w:rPr>
                  </w:pPr>
                  <w:r>
                    <w:rPr>
                      <w:b/>
                      <w:bCs/>
                      <w:color w:val="auto"/>
                      <w:szCs w:val="21"/>
                    </w:rPr>
                    <w:t>固体废物</w:t>
                  </w:r>
                </w:p>
              </w:tc>
              <w:tc>
                <w:tcPr>
                  <w:tcW w:w="2111" w:type="dxa"/>
                  <w:tcBorders>
                    <w:tl2br w:val="nil"/>
                    <w:tr2bl w:val="nil"/>
                  </w:tcBorders>
                  <w:noWrap/>
                  <w:tcMar>
                    <w:left w:w="28" w:type="dxa"/>
                    <w:right w:w="28" w:type="dxa"/>
                  </w:tcMar>
                  <w:vAlign w:val="center"/>
                </w:tcPr>
                <w:p>
                  <w:pPr>
                    <w:jc w:val="center"/>
                    <w:rPr>
                      <w:b/>
                      <w:bCs/>
                      <w:color w:val="auto"/>
                      <w:szCs w:val="21"/>
                    </w:rPr>
                  </w:pPr>
                  <w:r>
                    <w:rPr>
                      <w:b/>
                      <w:bCs/>
                      <w:color w:val="auto"/>
                      <w:szCs w:val="21"/>
                    </w:rPr>
                    <w:t>判定依据</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79" w:type="dxa"/>
                  <w:tcBorders>
                    <w:tl2br w:val="nil"/>
                    <w:tr2bl w:val="nil"/>
                  </w:tcBorders>
                  <w:noWrap/>
                  <w:tcMar>
                    <w:left w:w="28" w:type="dxa"/>
                    <w:right w:w="28" w:type="dxa"/>
                  </w:tcMar>
                  <w:vAlign w:val="center"/>
                </w:tcPr>
                <w:p>
                  <w:pPr>
                    <w:jc w:val="center"/>
                    <w:rPr>
                      <w:color w:val="auto"/>
                      <w:szCs w:val="21"/>
                    </w:rPr>
                  </w:pPr>
                  <w:r>
                    <w:rPr>
                      <w:color w:val="auto"/>
                      <w:szCs w:val="21"/>
                    </w:rPr>
                    <w:t>1</w:t>
                  </w:r>
                </w:p>
              </w:tc>
              <w:tc>
                <w:tcPr>
                  <w:tcW w:w="718" w:type="dxa"/>
                  <w:tcBorders>
                    <w:tl2br w:val="nil"/>
                    <w:tr2bl w:val="nil"/>
                  </w:tcBorders>
                  <w:noWrap/>
                  <w:tcMar>
                    <w:left w:w="28" w:type="dxa"/>
                    <w:right w:w="28" w:type="dxa"/>
                  </w:tcMar>
                  <w:vAlign w:val="center"/>
                </w:tcPr>
                <w:p>
                  <w:pPr>
                    <w:jc w:val="center"/>
                    <w:rPr>
                      <w:color w:val="auto"/>
                      <w:szCs w:val="21"/>
                    </w:rPr>
                  </w:pPr>
                  <w:r>
                    <w:rPr>
                      <w:color w:val="auto"/>
                      <w:szCs w:val="21"/>
                    </w:rPr>
                    <w:t>不合格品</w:t>
                  </w:r>
                </w:p>
              </w:tc>
              <w:tc>
                <w:tcPr>
                  <w:tcW w:w="608" w:type="dxa"/>
                  <w:tcBorders>
                    <w:tl2br w:val="nil"/>
                    <w:tr2bl w:val="nil"/>
                  </w:tcBorders>
                  <w:noWrap/>
                  <w:tcMar>
                    <w:left w:w="28" w:type="dxa"/>
                    <w:right w:w="28" w:type="dxa"/>
                  </w:tcMar>
                  <w:vAlign w:val="center"/>
                </w:tcPr>
                <w:p>
                  <w:pPr>
                    <w:jc w:val="center"/>
                    <w:rPr>
                      <w:color w:val="auto"/>
                      <w:szCs w:val="21"/>
                    </w:rPr>
                  </w:pPr>
                  <w:r>
                    <w:rPr>
                      <w:color w:val="auto"/>
                      <w:szCs w:val="21"/>
                    </w:rPr>
                    <w:t>生产过程</w:t>
                  </w:r>
                </w:p>
              </w:tc>
              <w:tc>
                <w:tcPr>
                  <w:tcW w:w="493" w:type="dxa"/>
                  <w:tcBorders>
                    <w:tl2br w:val="nil"/>
                    <w:tr2bl w:val="nil"/>
                  </w:tcBorders>
                  <w:noWrap/>
                  <w:tcMar>
                    <w:left w:w="28" w:type="dxa"/>
                    <w:right w:w="28" w:type="dxa"/>
                  </w:tcMar>
                  <w:vAlign w:val="center"/>
                </w:tcPr>
                <w:p>
                  <w:pPr>
                    <w:jc w:val="center"/>
                    <w:rPr>
                      <w:color w:val="auto"/>
                      <w:szCs w:val="21"/>
                    </w:rPr>
                  </w:pPr>
                  <w:r>
                    <w:rPr>
                      <w:color w:val="auto"/>
                      <w:szCs w:val="21"/>
                    </w:rPr>
                    <w:t>固态</w:t>
                  </w:r>
                </w:p>
              </w:tc>
              <w:tc>
                <w:tcPr>
                  <w:tcW w:w="832" w:type="dxa"/>
                  <w:tcBorders>
                    <w:tl2br w:val="nil"/>
                    <w:tr2bl w:val="nil"/>
                  </w:tcBorders>
                  <w:noWrap/>
                  <w:tcMar>
                    <w:left w:w="28" w:type="dxa"/>
                    <w:right w:w="28" w:type="dxa"/>
                  </w:tcMar>
                  <w:vAlign w:val="center"/>
                </w:tcPr>
                <w:p>
                  <w:pPr>
                    <w:jc w:val="center"/>
                    <w:rPr>
                      <w:color w:val="auto"/>
                      <w:szCs w:val="21"/>
                    </w:rPr>
                  </w:pPr>
                  <w:r>
                    <w:rPr>
                      <w:color w:val="auto"/>
                      <w:szCs w:val="21"/>
                    </w:rPr>
                    <w:t>纸</w:t>
                  </w:r>
                </w:p>
              </w:tc>
              <w:tc>
                <w:tcPr>
                  <w:tcW w:w="714"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20</w:t>
                  </w:r>
                </w:p>
              </w:tc>
              <w:tc>
                <w:tcPr>
                  <w:tcW w:w="810" w:type="dxa"/>
                  <w:tcBorders>
                    <w:tl2br w:val="nil"/>
                    <w:tr2bl w:val="nil"/>
                  </w:tcBorders>
                  <w:noWrap/>
                  <w:tcMar>
                    <w:left w:w="28" w:type="dxa"/>
                    <w:right w:w="28" w:type="dxa"/>
                  </w:tcMar>
                  <w:vAlign w:val="center"/>
                </w:tcPr>
                <w:p>
                  <w:pPr>
                    <w:jc w:val="center"/>
                    <w:rPr>
                      <w:color w:val="auto"/>
                      <w:szCs w:val="21"/>
                    </w:rPr>
                  </w:pPr>
                  <w:r>
                    <w:rPr>
                      <w:color w:val="auto"/>
                      <w:szCs w:val="21"/>
                    </w:rPr>
                    <w:t>20</w:t>
                  </w:r>
                </w:p>
              </w:tc>
              <w:tc>
                <w:tcPr>
                  <w:tcW w:w="840" w:type="dxa"/>
                  <w:tcBorders>
                    <w:tl2br w:val="nil"/>
                    <w:tr2bl w:val="nil"/>
                  </w:tcBorders>
                  <w:noWrap/>
                  <w:tcMar>
                    <w:left w:w="28" w:type="dxa"/>
                    <w:right w:w="28" w:type="dxa"/>
                  </w:tcMar>
                  <w:vAlign w:val="center"/>
                </w:tcPr>
                <w:p>
                  <w:pPr>
                    <w:jc w:val="center"/>
                    <w:rPr>
                      <w:color w:val="auto"/>
                      <w:szCs w:val="21"/>
                    </w:rPr>
                  </w:pPr>
                  <w:r>
                    <w:rPr>
                      <w:color w:val="auto"/>
                      <w:szCs w:val="21"/>
                    </w:rPr>
                    <w:t>0</w:t>
                  </w:r>
                </w:p>
              </w:tc>
              <w:tc>
                <w:tcPr>
                  <w:tcW w:w="930" w:type="dxa"/>
                  <w:tcBorders>
                    <w:tl2br w:val="nil"/>
                    <w:tr2bl w:val="nil"/>
                  </w:tcBorders>
                  <w:noWrap/>
                  <w:tcMar>
                    <w:left w:w="28" w:type="dxa"/>
                    <w:right w:w="28" w:type="dxa"/>
                  </w:tcMar>
                  <w:vAlign w:val="center"/>
                </w:tcPr>
                <w:p>
                  <w:pPr>
                    <w:jc w:val="center"/>
                    <w:rPr>
                      <w:color w:val="auto"/>
                      <w:szCs w:val="21"/>
                    </w:rPr>
                  </w:pPr>
                  <w:r>
                    <w:rPr>
                      <w:color w:val="auto"/>
                      <w:szCs w:val="21"/>
                    </w:rPr>
                    <w:t>√</w:t>
                  </w:r>
                </w:p>
              </w:tc>
              <w:tc>
                <w:tcPr>
                  <w:tcW w:w="2111" w:type="dxa"/>
                  <w:vMerge w:val="restart"/>
                  <w:tcBorders>
                    <w:tl2br w:val="nil"/>
                    <w:tr2bl w:val="nil"/>
                  </w:tcBorders>
                  <w:noWrap/>
                  <w:tcMar>
                    <w:left w:w="28" w:type="dxa"/>
                    <w:right w:w="28" w:type="dxa"/>
                  </w:tcMar>
                  <w:vAlign w:val="center"/>
                </w:tcPr>
                <w:p>
                  <w:pPr>
                    <w:jc w:val="center"/>
                    <w:rPr>
                      <w:color w:val="auto"/>
                      <w:szCs w:val="21"/>
                    </w:rPr>
                  </w:pPr>
                  <w:r>
                    <w:rPr>
                      <w:color w:val="auto"/>
                      <w:szCs w:val="21"/>
                    </w:rPr>
                    <w:t>《固体废物鉴别标准通则》（GB34330-2017）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79" w:type="dxa"/>
                  <w:tcBorders>
                    <w:tl2br w:val="nil"/>
                    <w:tr2bl w:val="nil"/>
                  </w:tcBorders>
                  <w:noWrap/>
                  <w:tcMar>
                    <w:left w:w="28" w:type="dxa"/>
                    <w:right w:w="28" w:type="dxa"/>
                  </w:tcMar>
                  <w:vAlign w:val="center"/>
                </w:tcPr>
                <w:p>
                  <w:pPr>
                    <w:jc w:val="center"/>
                    <w:rPr>
                      <w:color w:val="auto"/>
                      <w:szCs w:val="21"/>
                    </w:rPr>
                  </w:pPr>
                  <w:r>
                    <w:rPr>
                      <w:color w:val="auto"/>
                      <w:szCs w:val="21"/>
                    </w:rPr>
                    <w:t>2</w:t>
                  </w:r>
                </w:p>
              </w:tc>
              <w:tc>
                <w:tcPr>
                  <w:tcW w:w="718" w:type="dxa"/>
                  <w:tcBorders>
                    <w:tl2br w:val="nil"/>
                    <w:tr2bl w:val="nil"/>
                  </w:tcBorders>
                  <w:noWrap/>
                  <w:tcMar>
                    <w:left w:w="28" w:type="dxa"/>
                    <w:right w:w="28" w:type="dxa"/>
                  </w:tcMar>
                  <w:vAlign w:val="center"/>
                </w:tcPr>
                <w:p>
                  <w:pPr>
                    <w:jc w:val="center"/>
                    <w:rPr>
                      <w:color w:val="auto"/>
                      <w:szCs w:val="21"/>
                    </w:rPr>
                  </w:pPr>
                  <w:r>
                    <w:rPr>
                      <w:color w:val="auto"/>
                      <w:szCs w:val="21"/>
                    </w:rPr>
                    <w:t>废包装桶</w:t>
                  </w:r>
                </w:p>
              </w:tc>
              <w:tc>
                <w:tcPr>
                  <w:tcW w:w="608" w:type="dxa"/>
                  <w:tcBorders>
                    <w:tl2br w:val="nil"/>
                    <w:tr2bl w:val="nil"/>
                  </w:tcBorders>
                  <w:noWrap/>
                  <w:tcMar>
                    <w:left w:w="28" w:type="dxa"/>
                    <w:right w:w="28" w:type="dxa"/>
                  </w:tcMar>
                  <w:vAlign w:val="center"/>
                </w:tcPr>
                <w:p>
                  <w:pPr>
                    <w:jc w:val="center"/>
                    <w:rPr>
                      <w:color w:val="auto"/>
                      <w:szCs w:val="21"/>
                    </w:rPr>
                  </w:pPr>
                  <w:r>
                    <w:rPr>
                      <w:color w:val="auto"/>
                      <w:szCs w:val="21"/>
                    </w:rPr>
                    <w:t>原料包装</w:t>
                  </w:r>
                </w:p>
              </w:tc>
              <w:tc>
                <w:tcPr>
                  <w:tcW w:w="493" w:type="dxa"/>
                  <w:tcBorders>
                    <w:tl2br w:val="nil"/>
                    <w:tr2bl w:val="nil"/>
                  </w:tcBorders>
                  <w:noWrap/>
                  <w:tcMar>
                    <w:left w:w="28" w:type="dxa"/>
                    <w:right w:w="28" w:type="dxa"/>
                  </w:tcMar>
                  <w:vAlign w:val="center"/>
                </w:tcPr>
                <w:p>
                  <w:pPr>
                    <w:jc w:val="center"/>
                    <w:rPr>
                      <w:color w:val="auto"/>
                      <w:szCs w:val="21"/>
                    </w:rPr>
                  </w:pPr>
                  <w:r>
                    <w:rPr>
                      <w:color w:val="auto"/>
                      <w:szCs w:val="21"/>
                    </w:rPr>
                    <w:t>固态</w:t>
                  </w:r>
                </w:p>
              </w:tc>
              <w:tc>
                <w:tcPr>
                  <w:tcW w:w="832" w:type="dxa"/>
                  <w:tcBorders>
                    <w:tl2br w:val="nil"/>
                    <w:tr2bl w:val="nil"/>
                  </w:tcBorders>
                  <w:noWrap/>
                  <w:tcMar>
                    <w:left w:w="28" w:type="dxa"/>
                    <w:right w:w="28" w:type="dxa"/>
                  </w:tcMar>
                  <w:vAlign w:val="center"/>
                </w:tcPr>
                <w:p>
                  <w:pPr>
                    <w:jc w:val="center"/>
                    <w:rPr>
                      <w:color w:val="auto"/>
                      <w:szCs w:val="21"/>
                    </w:rPr>
                  </w:pPr>
                  <w:r>
                    <w:rPr>
                      <w:color w:val="auto"/>
                      <w:szCs w:val="21"/>
                    </w:rPr>
                    <w:t>包装桶</w:t>
                  </w:r>
                </w:p>
              </w:tc>
              <w:tc>
                <w:tcPr>
                  <w:tcW w:w="714"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0.5</w:t>
                  </w:r>
                </w:p>
              </w:tc>
              <w:tc>
                <w:tcPr>
                  <w:tcW w:w="810"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0.5</w:t>
                  </w:r>
                </w:p>
              </w:tc>
              <w:tc>
                <w:tcPr>
                  <w:tcW w:w="840"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w:t>
                  </w:r>
                </w:p>
              </w:tc>
              <w:tc>
                <w:tcPr>
                  <w:tcW w:w="930" w:type="dxa"/>
                  <w:tcBorders>
                    <w:tl2br w:val="nil"/>
                    <w:tr2bl w:val="nil"/>
                  </w:tcBorders>
                  <w:noWrap/>
                  <w:tcMar>
                    <w:left w:w="28" w:type="dxa"/>
                    <w:right w:w="28" w:type="dxa"/>
                  </w:tcMar>
                  <w:vAlign w:val="center"/>
                </w:tcPr>
                <w:p>
                  <w:pPr>
                    <w:jc w:val="center"/>
                    <w:rPr>
                      <w:color w:val="auto"/>
                      <w:szCs w:val="21"/>
                    </w:rPr>
                  </w:pPr>
                  <w:r>
                    <w:rPr>
                      <w:color w:val="auto"/>
                      <w:szCs w:val="21"/>
                    </w:rPr>
                    <w:t>√</w:t>
                  </w:r>
                </w:p>
              </w:tc>
              <w:tc>
                <w:tcPr>
                  <w:tcW w:w="2111" w:type="dxa"/>
                  <w:vMerge w:val="continue"/>
                  <w:tcBorders>
                    <w:tl2br w:val="nil"/>
                    <w:tr2bl w:val="nil"/>
                  </w:tcBorders>
                  <w:noWrap/>
                  <w:tcMar>
                    <w:left w:w="28" w:type="dxa"/>
                    <w:right w:w="28" w:type="dxa"/>
                  </w:tcMar>
                  <w:vAlign w:val="center"/>
                </w:tcPr>
                <w:p>
                  <w:pPr>
                    <w:jc w:val="center"/>
                    <w:rPr>
                      <w:color w:val="auto"/>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79" w:type="dxa"/>
                  <w:tcBorders>
                    <w:tl2br w:val="nil"/>
                    <w:tr2bl w:val="nil"/>
                  </w:tcBorders>
                  <w:noWrap/>
                  <w:tcMar>
                    <w:left w:w="28" w:type="dxa"/>
                    <w:right w:w="28" w:type="dxa"/>
                  </w:tcMar>
                  <w:vAlign w:val="center"/>
                </w:tcPr>
                <w:p>
                  <w:pPr>
                    <w:jc w:val="center"/>
                    <w:rPr>
                      <w:color w:val="auto"/>
                      <w:szCs w:val="21"/>
                    </w:rPr>
                  </w:pPr>
                  <w:r>
                    <w:rPr>
                      <w:color w:val="auto"/>
                      <w:szCs w:val="21"/>
                    </w:rPr>
                    <w:t>3</w:t>
                  </w:r>
                </w:p>
              </w:tc>
              <w:tc>
                <w:tcPr>
                  <w:tcW w:w="718" w:type="dxa"/>
                  <w:tcBorders>
                    <w:tl2br w:val="nil"/>
                    <w:tr2bl w:val="nil"/>
                  </w:tcBorders>
                  <w:noWrap/>
                  <w:tcMar>
                    <w:left w:w="28" w:type="dxa"/>
                    <w:right w:w="28" w:type="dxa"/>
                  </w:tcMar>
                  <w:vAlign w:val="center"/>
                </w:tcPr>
                <w:p>
                  <w:pPr>
                    <w:jc w:val="center"/>
                    <w:rPr>
                      <w:color w:val="auto"/>
                      <w:szCs w:val="21"/>
                    </w:rPr>
                  </w:pPr>
                  <w:r>
                    <w:rPr>
                      <w:color w:val="auto"/>
                      <w:szCs w:val="21"/>
                    </w:rPr>
                    <w:t>废包装瓶</w:t>
                  </w:r>
                </w:p>
              </w:tc>
              <w:tc>
                <w:tcPr>
                  <w:tcW w:w="608" w:type="dxa"/>
                  <w:tcBorders>
                    <w:tl2br w:val="nil"/>
                    <w:tr2bl w:val="nil"/>
                  </w:tcBorders>
                  <w:noWrap/>
                  <w:tcMar>
                    <w:left w:w="28" w:type="dxa"/>
                    <w:right w:w="28" w:type="dxa"/>
                  </w:tcMar>
                  <w:vAlign w:val="center"/>
                </w:tcPr>
                <w:p>
                  <w:pPr>
                    <w:jc w:val="center"/>
                    <w:rPr>
                      <w:color w:val="auto"/>
                      <w:szCs w:val="21"/>
                    </w:rPr>
                  </w:pPr>
                  <w:r>
                    <w:rPr>
                      <w:color w:val="auto"/>
                      <w:szCs w:val="21"/>
                    </w:rPr>
                    <w:t>原料包装</w:t>
                  </w:r>
                </w:p>
              </w:tc>
              <w:tc>
                <w:tcPr>
                  <w:tcW w:w="493" w:type="dxa"/>
                  <w:tcBorders>
                    <w:tl2br w:val="nil"/>
                    <w:tr2bl w:val="nil"/>
                  </w:tcBorders>
                  <w:noWrap/>
                  <w:tcMar>
                    <w:left w:w="28" w:type="dxa"/>
                    <w:right w:w="28" w:type="dxa"/>
                  </w:tcMar>
                  <w:vAlign w:val="center"/>
                </w:tcPr>
                <w:p>
                  <w:pPr>
                    <w:jc w:val="center"/>
                    <w:rPr>
                      <w:color w:val="auto"/>
                      <w:szCs w:val="21"/>
                    </w:rPr>
                  </w:pPr>
                  <w:r>
                    <w:rPr>
                      <w:color w:val="auto"/>
                      <w:szCs w:val="21"/>
                    </w:rPr>
                    <w:t>固态</w:t>
                  </w:r>
                </w:p>
              </w:tc>
              <w:tc>
                <w:tcPr>
                  <w:tcW w:w="832" w:type="dxa"/>
                  <w:tcBorders>
                    <w:tl2br w:val="nil"/>
                    <w:tr2bl w:val="nil"/>
                  </w:tcBorders>
                  <w:noWrap/>
                  <w:tcMar>
                    <w:left w:w="28" w:type="dxa"/>
                    <w:right w:w="28" w:type="dxa"/>
                  </w:tcMar>
                  <w:vAlign w:val="center"/>
                </w:tcPr>
                <w:p>
                  <w:pPr>
                    <w:jc w:val="center"/>
                    <w:rPr>
                      <w:color w:val="auto"/>
                      <w:szCs w:val="21"/>
                    </w:rPr>
                  </w:pPr>
                  <w:r>
                    <w:rPr>
                      <w:color w:val="auto"/>
                      <w:szCs w:val="21"/>
                    </w:rPr>
                    <w:t>包装瓶</w:t>
                  </w:r>
                </w:p>
              </w:tc>
              <w:tc>
                <w:tcPr>
                  <w:tcW w:w="714"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0.1</w:t>
                  </w:r>
                </w:p>
              </w:tc>
              <w:tc>
                <w:tcPr>
                  <w:tcW w:w="810"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0.1</w:t>
                  </w:r>
                </w:p>
              </w:tc>
              <w:tc>
                <w:tcPr>
                  <w:tcW w:w="840"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w:t>
                  </w:r>
                </w:p>
              </w:tc>
              <w:tc>
                <w:tcPr>
                  <w:tcW w:w="930" w:type="dxa"/>
                  <w:tcBorders>
                    <w:tl2br w:val="nil"/>
                    <w:tr2bl w:val="nil"/>
                  </w:tcBorders>
                  <w:noWrap/>
                  <w:tcMar>
                    <w:left w:w="28" w:type="dxa"/>
                    <w:right w:w="28" w:type="dxa"/>
                  </w:tcMar>
                  <w:vAlign w:val="center"/>
                </w:tcPr>
                <w:p>
                  <w:pPr>
                    <w:jc w:val="center"/>
                    <w:rPr>
                      <w:color w:val="auto"/>
                      <w:szCs w:val="21"/>
                    </w:rPr>
                  </w:pPr>
                  <w:r>
                    <w:rPr>
                      <w:color w:val="auto"/>
                      <w:szCs w:val="21"/>
                    </w:rPr>
                    <w:t>√</w:t>
                  </w:r>
                </w:p>
              </w:tc>
              <w:tc>
                <w:tcPr>
                  <w:tcW w:w="2111" w:type="dxa"/>
                  <w:vMerge w:val="continue"/>
                  <w:tcBorders>
                    <w:tl2br w:val="nil"/>
                    <w:tr2bl w:val="nil"/>
                  </w:tcBorders>
                  <w:noWrap/>
                  <w:tcMar>
                    <w:left w:w="28" w:type="dxa"/>
                    <w:right w:w="28" w:type="dxa"/>
                  </w:tcMar>
                  <w:vAlign w:val="center"/>
                </w:tcPr>
                <w:p>
                  <w:pPr>
                    <w:jc w:val="center"/>
                    <w:rPr>
                      <w:color w:val="auto"/>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79" w:type="dxa"/>
                  <w:tcBorders>
                    <w:tl2br w:val="nil"/>
                    <w:tr2bl w:val="nil"/>
                  </w:tcBorders>
                  <w:noWrap/>
                  <w:tcMar>
                    <w:left w:w="28" w:type="dxa"/>
                    <w:right w:w="28" w:type="dxa"/>
                  </w:tcMar>
                  <w:vAlign w:val="center"/>
                </w:tcPr>
                <w:p>
                  <w:pPr>
                    <w:jc w:val="center"/>
                    <w:rPr>
                      <w:color w:val="auto"/>
                      <w:szCs w:val="21"/>
                    </w:rPr>
                  </w:pPr>
                  <w:r>
                    <w:rPr>
                      <w:color w:val="auto"/>
                      <w:szCs w:val="21"/>
                    </w:rPr>
                    <w:t>4</w:t>
                  </w:r>
                </w:p>
              </w:tc>
              <w:tc>
                <w:tcPr>
                  <w:tcW w:w="718" w:type="dxa"/>
                  <w:tcBorders>
                    <w:tl2br w:val="nil"/>
                    <w:tr2bl w:val="nil"/>
                  </w:tcBorders>
                  <w:noWrap/>
                  <w:tcMar>
                    <w:left w:w="28" w:type="dxa"/>
                    <w:right w:w="28" w:type="dxa"/>
                  </w:tcMar>
                  <w:vAlign w:val="center"/>
                </w:tcPr>
                <w:p>
                  <w:pPr>
                    <w:jc w:val="center"/>
                    <w:rPr>
                      <w:color w:val="auto"/>
                      <w:szCs w:val="21"/>
                    </w:rPr>
                  </w:pPr>
                  <w:r>
                    <w:rPr>
                      <w:color w:val="auto"/>
                      <w:szCs w:val="21"/>
                    </w:rPr>
                    <w:t>废抹布</w:t>
                  </w:r>
                </w:p>
              </w:tc>
              <w:tc>
                <w:tcPr>
                  <w:tcW w:w="608" w:type="dxa"/>
                  <w:tcBorders>
                    <w:tl2br w:val="nil"/>
                    <w:tr2bl w:val="nil"/>
                  </w:tcBorders>
                  <w:noWrap/>
                  <w:tcMar>
                    <w:left w:w="28" w:type="dxa"/>
                    <w:right w:w="28" w:type="dxa"/>
                  </w:tcMar>
                  <w:vAlign w:val="center"/>
                </w:tcPr>
                <w:p>
                  <w:pPr>
                    <w:jc w:val="center"/>
                    <w:rPr>
                      <w:color w:val="auto"/>
                      <w:szCs w:val="21"/>
                    </w:rPr>
                  </w:pPr>
                  <w:r>
                    <w:rPr>
                      <w:color w:val="auto"/>
                      <w:szCs w:val="21"/>
                    </w:rPr>
                    <w:t>清洁</w:t>
                  </w:r>
                </w:p>
              </w:tc>
              <w:tc>
                <w:tcPr>
                  <w:tcW w:w="493" w:type="dxa"/>
                  <w:tcBorders>
                    <w:tl2br w:val="nil"/>
                    <w:tr2bl w:val="nil"/>
                  </w:tcBorders>
                  <w:noWrap/>
                  <w:tcMar>
                    <w:left w:w="28" w:type="dxa"/>
                    <w:right w:w="28" w:type="dxa"/>
                  </w:tcMar>
                  <w:vAlign w:val="center"/>
                </w:tcPr>
                <w:p>
                  <w:pPr>
                    <w:jc w:val="center"/>
                    <w:rPr>
                      <w:color w:val="auto"/>
                      <w:szCs w:val="21"/>
                    </w:rPr>
                  </w:pPr>
                  <w:r>
                    <w:rPr>
                      <w:color w:val="auto"/>
                      <w:szCs w:val="21"/>
                    </w:rPr>
                    <w:t>固态</w:t>
                  </w:r>
                </w:p>
              </w:tc>
              <w:tc>
                <w:tcPr>
                  <w:tcW w:w="832" w:type="dxa"/>
                  <w:tcBorders>
                    <w:tl2br w:val="nil"/>
                    <w:tr2bl w:val="nil"/>
                  </w:tcBorders>
                  <w:noWrap/>
                  <w:tcMar>
                    <w:left w:w="28" w:type="dxa"/>
                    <w:right w:w="28" w:type="dxa"/>
                  </w:tcMar>
                  <w:vAlign w:val="center"/>
                </w:tcPr>
                <w:p>
                  <w:pPr>
                    <w:jc w:val="center"/>
                    <w:rPr>
                      <w:color w:val="auto"/>
                      <w:szCs w:val="21"/>
                    </w:rPr>
                  </w:pPr>
                  <w:r>
                    <w:rPr>
                      <w:color w:val="auto"/>
                      <w:szCs w:val="21"/>
                    </w:rPr>
                    <w:t>抹布</w:t>
                  </w:r>
                </w:p>
              </w:tc>
              <w:tc>
                <w:tcPr>
                  <w:tcW w:w="714"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0.1</w:t>
                  </w:r>
                </w:p>
              </w:tc>
              <w:tc>
                <w:tcPr>
                  <w:tcW w:w="810"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0.1</w:t>
                  </w:r>
                </w:p>
              </w:tc>
              <w:tc>
                <w:tcPr>
                  <w:tcW w:w="840" w:type="dxa"/>
                  <w:tcBorders>
                    <w:tl2br w:val="nil"/>
                    <w:tr2bl w:val="nil"/>
                  </w:tcBorders>
                  <w:noWrap/>
                  <w:tcMar>
                    <w:left w:w="28" w:type="dxa"/>
                    <w:right w:w="28" w:type="dxa"/>
                  </w:tcMar>
                  <w:vAlign w:val="center"/>
                </w:tcPr>
                <w:p>
                  <w:pPr>
                    <w:spacing w:line="240" w:lineRule="atLeast"/>
                    <w:jc w:val="center"/>
                    <w:rPr>
                      <w:color w:val="auto"/>
                      <w:szCs w:val="21"/>
                    </w:rPr>
                  </w:pPr>
                  <w:r>
                    <w:rPr>
                      <w:color w:val="auto"/>
                      <w:szCs w:val="21"/>
                    </w:rPr>
                    <w:t>0</w:t>
                  </w:r>
                </w:p>
              </w:tc>
              <w:tc>
                <w:tcPr>
                  <w:tcW w:w="930" w:type="dxa"/>
                  <w:tcBorders>
                    <w:tl2br w:val="nil"/>
                    <w:tr2bl w:val="nil"/>
                  </w:tcBorders>
                  <w:noWrap/>
                  <w:tcMar>
                    <w:left w:w="28" w:type="dxa"/>
                    <w:right w:w="28" w:type="dxa"/>
                  </w:tcMar>
                  <w:vAlign w:val="center"/>
                </w:tcPr>
                <w:p>
                  <w:pPr>
                    <w:jc w:val="center"/>
                    <w:rPr>
                      <w:color w:val="auto"/>
                      <w:szCs w:val="21"/>
                    </w:rPr>
                  </w:pPr>
                  <w:r>
                    <w:rPr>
                      <w:color w:val="auto"/>
                      <w:szCs w:val="21"/>
                    </w:rPr>
                    <w:t>√</w:t>
                  </w:r>
                </w:p>
              </w:tc>
              <w:tc>
                <w:tcPr>
                  <w:tcW w:w="2111" w:type="dxa"/>
                  <w:vMerge w:val="continue"/>
                  <w:tcBorders>
                    <w:tl2br w:val="nil"/>
                    <w:tr2bl w:val="nil"/>
                  </w:tcBorders>
                  <w:noWrap/>
                  <w:tcMar>
                    <w:left w:w="28" w:type="dxa"/>
                    <w:right w:w="28" w:type="dxa"/>
                  </w:tcMar>
                  <w:vAlign w:val="center"/>
                </w:tcPr>
                <w:p>
                  <w:pPr>
                    <w:jc w:val="center"/>
                    <w:rPr>
                      <w:color w:val="auto"/>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79" w:type="dxa"/>
                  <w:tcBorders>
                    <w:tl2br w:val="nil"/>
                    <w:tr2bl w:val="nil"/>
                  </w:tcBorders>
                  <w:noWrap/>
                  <w:tcMar>
                    <w:left w:w="28" w:type="dxa"/>
                    <w:right w:w="28" w:type="dxa"/>
                  </w:tcMar>
                  <w:vAlign w:val="center"/>
                </w:tcPr>
                <w:p>
                  <w:pPr>
                    <w:jc w:val="center"/>
                    <w:rPr>
                      <w:color w:val="auto"/>
                      <w:szCs w:val="21"/>
                    </w:rPr>
                  </w:pPr>
                  <w:r>
                    <w:rPr>
                      <w:color w:val="auto"/>
                      <w:szCs w:val="21"/>
                    </w:rPr>
                    <w:t>5</w:t>
                  </w:r>
                </w:p>
              </w:tc>
              <w:tc>
                <w:tcPr>
                  <w:tcW w:w="718" w:type="dxa"/>
                  <w:tcBorders>
                    <w:tl2br w:val="nil"/>
                    <w:tr2bl w:val="nil"/>
                  </w:tcBorders>
                  <w:noWrap/>
                  <w:tcMar>
                    <w:left w:w="28" w:type="dxa"/>
                    <w:right w:w="28" w:type="dxa"/>
                  </w:tcMar>
                  <w:vAlign w:val="center"/>
                </w:tcPr>
                <w:p>
                  <w:pPr>
                    <w:jc w:val="center"/>
                    <w:rPr>
                      <w:color w:val="auto"/>
                      <w:szCs w:val="21"/>
                    </w:rPr>
                  </w:pPr>
                  <w:r>
                    <w:rPr>
                      <w:color w:val="auto"/>
                      <w:szCs w:val="21"/>
                    </w:rPr>
                    <w:t>生活垃圾</w:t>
                  </w:r>
                </w:p>
              </w:tc>
              <w:tc>
                <w:tcPr>
                  <w:tcW w:w="608" w:type="dxa"/>
                  <w:tcBorders>
                    <w:tl2br w:val="nil"/>
                    <w:tr2bl w:val="nil"/>
                  </w:tcBorders>
                  <w:noWrap/>
                  <w:tcMar>
                    <w:left w:w="28" w:type="dxa"/>
                    <w:right w:w="28" w:type="dxa"/>
                  </w:tcMar>
                  <w:vAlign w:val="center"/>
                </w:tcPr>
                <w:p>
                  <w:pPr>
                    <w:jc w:val="center"/>
                    <w:rPr>
                      <w:color w:val="auto"/>
                      <w:szCs w:val="21"/>
                    </w:rPr>
                  </w:pPr>
                  <w:r>
                    <w:rPr>
                      <w:color w:val="auto"/>
                      <w:szCs w:val="21"/>
                    </w:rPr>
                    <w:t>员工生活</w:t>
                  </w:r>
                </w:p>
              </w:tc>
              <w:tc>
                <w:tcPr>
                  <w:tcW w:w="493" w:type="dxa"/>
                  <w:tcBorders>
                    <w:tl2br w:val="nil"/>
                    <w:tr2bl w:val="nil"/>
                  </w:tcBorders>
                  <w:noWrap/>
                  <w:tcMar>
                    <w:left w:w="28" w:type="dxa"/>
                    <w:right w:w="28" w:type="dxa"/>
                  </w:tcMar>
                  <w:vAlign w:val="center"/>
                </w:tcPr>
                <w:p>
                  <w:pPr>
                    <w:jc w:val="center"/>
                    <w:rPr>
                      <w:color w:val="auto"/>
                      <w:szCs w:val="21"/>
                    </w:rPr>
                  </w:pPr>
                  <w:r>
                    <w:rPr>
                      <w:color w:val="auto"/>
                      <w:szCs w:val="21"/>
                    </w:rPr>
                    <w:t>半固态</w:t>
                  </w:r>
                </w:p>
              </w:tc>
              <w:tc>
                <w:tcPr>
                  <w:tcW w:w="832" w:type="dxa"/>
                  <w:tcBorders>
                    <w:tl2br w:val="nil"/>
                    <w:tr2bl w:val="nil"/>
                  </w:tcBorders>
                  <w:noWrap/>
                  <w:tcMar>
                    <w:left w:w="28" w:type="dxa"/>
                    <w:right w:w="28" w:type="dxa"/>
                  </w:tcMar>
                  <w:vAlign w:val="center"/>
                </w:tcPr>
                <w:p>
                  <w:pPr>
                    <w:jc w:val="center"/>
                    <w:rPr>
                      <w:color w:val="auto"/>
                      <w:szCs w:val="21"/>
                    </w:rPr>
                  </w:pPr>
                  <w:r>
                    <w:rPr>
                      <w:color w:val="auto"/>
                      <w:szCs w:val="21"/>
                    </w:rPr>
                    <w:t>员工生活垃圾</w:t>
                  </w:r>
                </w:p>
              </w:tc>
              <w:tc>
                <w:tcPr>
                  <w:tcW w:w="714" w:type="dxa"/>
                  <w:tcBorders>
                    <w:tl2br w:val="nil"/>
                    <w:tr2bl w:val="nil"/>
                  </w:tcBorders>
                  <w:noWrap/>
                  <w:tcMar>
                    <w:left w:w="28" w:type="dxa"/>
                    <w:right w:w="28" w:type="dxa"/>
                  </w:tcMar>
                  <w:vAlign w:val="center"/>
                </w:tcPr>
                <w:p>
                  <w:pPr>
                    <w:jc w:val="center"/>
                    <w:rPr>
                      <w:color w:val="auto"/>
                      <w:szCs w:val="21"/>
                    </w:rPr>
                  </w:pPr>
                  <w:r>
                    <w:rPr>
                      <w:color w:val="auto"/>
                      <w:szCs w:val="21"/>
                    </w:rPr>
                    <w:t>1.68</w:t>
                  </w:r>
                </w:p>
              </w:tc>
              <w:tc>
                <w:tcPr>
                  <w:tcW w:w="810" w:type="dxa"/>
                  <w:tcBorders>
                    <w:tl2br w:val="nil"/>
                    <w:tr2bl w:val="nil"/>
                  </w:tcBorders>
                  <w:noWrap/>
                  <w:tcMar>
                    <w:left w:w="28" w:type="dxa"/>
                    <w:right w:w="28" w:type="dxa"/>
                  </w:tcMar>
                  <w:vAlign w:val="center"/>
                </w:tcPr>
                <w:p>
                  <w:pPr>
                    <w:jc w:val="center"/>
                    <w:rPr>
                      <w:color w:val="auto"/>
                      <w:szCs w:val="21"/>
                    </w:rPr>
                  </w:pPr>
                  <w:r>
                    <w:rPr>
                      <w:color w:val="auto"/>
                      <w:szCs w:val="21"/>
                    </w:rPr>
                    <w:t>1.68</w:t>
                  </w:r>
                </w:p>
              </w:tc>
              <w:tc>
                <w:tcPr>
                  <w:tcW w:w="840" w:type="dxa"/>
                  <w:tcBorders>
                    <w:tl2br w:val="nil"/>
                    <w:tr2bl w:val="nil"/>
                  </w:tcBorders>
                  <w:noWrap/>
                  <w:tcMar>
                    <w:left w:w="28" w:type="dxa"/>
                    <w:right w:w="28" w:type="dxa"/>
                  </w:tcMar>
                  <w:vAlign w:val="center"/>
                </w:tcPr>
                <w:p>
                  <w:pPr>
                    <w:jc w:val="center"/>
                    <w:rPr>
                      <w:color w:val="auto"/>
                      <w:szCs w:val="21"/>
                    </w:rPr>
                  </w:pPr>
                  <w:r>
                    <w:rPr>
                      <w:color w:val="auto"/>
                      <w:szCs w:val="21"/>
                    </w:rPr>
                    <w:t>0</w:t>
                  </w:r>
                </w:p>
              </w:tc>
              <w:tc>
                <w:tcPr>
                  <w:tcW w:w="930" w:type="dxa"/>
                  <w:tcBorders>
                    <w:tl2br w:val="nil"/>
                    <w:tr2bl w:val="nil"/>
                  </w:tcBorders>
                  <w:noWrap/>
                  <w:tcMar>
                    <w:left w:w="28" w:type="dxa"/>
                    <w:right w:w="28" w:type="dxa"/>
                  </w:tcMar>
                  <w:vAlign w:val="center"/>
                </w:tcPr>
                <w:p>
                  <w:pPr>
                    <w:jc w:val="center"/>
                    <w:rPr>
                      <w:color w:val="auto"/>
                      <w:szCs w:val="21"/>
                    </w:rPr>
                  </w:pPr>
                  <w:r>
                    <w:rPr>
                      <w:color w:val="auto"/>
                      <w:szCs w:val="21"/>
                    </w:rPr>
                    <w:t>√</w:t>
                  </w:r>
                </w:p>
              </w:tc>
              <w:tc>
                <w:tcPr>
                  <w:tcW w:w="2111" w:type="dxa"/>
                  <w:vMerge w:val="continue"/>
                  <w:tcBorders>
                    <w:tl2br w:val="nil"/>
                    <w:tr2bl w:val="nil"/>
                  </w:tcBorders>
                  <w:noWrap/>
                  <w:tcMar>
                    <w:left w:w="28" w:type="dxa"/>
                    <w:right w:w="28" w:type="dxa"/>
                  </w:tcMar>
                  <w:vAlign w:val="center"/>
                </w:tcPr>
                <w:p>
                  <w:pPr>
                    <w:jc w:val="center"/>
                    <w:rPr>
                      <w:color w:val="auto"/>
                      <w:szCs w:val="21"/>
                    </w:rPr>
                  </w:pPr>
                </w:p>
              </w:tc>
            </w:tr>
          </w:tbl>
          <w:p>
            <w:pPr>
              <w:pStyle w:val="46"/>
              <w:tabs>
                <w:tab w:val="left" w:pos="1200"/>
              </w:tabs>
              <w:snapToGrid w:val="0"/>
              <w:spacing w:after="0" w:line="360" w:lineRule="auto"/>
              <w:ind w:left="0" w:leftChars="0" w:firstLine="482" w:firstLineChars="200"/>
              <w:jc w:val="left"/>
              <w:rPr>
                <w:rFonts w:ascii="Times New Roman" w:hAnsi="Times New Roman" w:cs="Times New Roman"/>
                <w:b/>
                <w:bCs/>
                <w:color w:val="auto"/>
                <w:szCs w:val="24"/>
              </w:rPr>
            </w:pPr>
            <w:r>
              <w:rPr>
                <w:rFonts w:ascii="Times New Roman" w:hAnsi="Times New Roman" w:cs="Times New Roman"/>
                <w:b/>
                <w:bCs/>
                <w:color w:val="auto"/>
                <w:szCs w:val="24"/>
              </w:rPr>
              <w:t>4.2固体废物产生情况汇总</w:t>
            </w:r>
          </w:p>
          <w:p>
            <w:pPr>
              <w:widowControl/>
              <w:spacing w:line="360" w:lineRule="auto"/>
              <w:ind w:firstLine="480" w:firstLineChars="200"/>
              <w:jc w:val="left"/>
              <w:rPr>
                <w:color w:val="auto"/>
                <w:kern w:val="0"/>
                <w:sz w:val="24"/>
              </w:rPr>
            </w:pPr>
            <w:r>
              <w:rPr>
                <w:color w:val="auto"/>
                <w:kern w:val="0"/>
                <w:sz w:val="24"/>
              </w:rPr>
              <w:t>根据《一般固体废物分类与代码》（GB/T39198-2020）、《国家危废名录》（2021年）以及危险废物鉴别标准，判定本项目产生固废属性，具体判定结果见下表。</w:t>
            </w:r>
          </w:p>
          <w:p>
            <w:pPr>
              <w:jc w:val="center"/>
              <w:rPr>
                <w:b/>
                <w:bCs/>
                <w:color w:val="auto"/>
                <w:szCs w:val="21"/>
              </w:rPr>
            </w:pPr>
            <w:r>
              <w:rPr>
                <w:b/>
                <w:bCs/>
                <w:color w:val="auto"/>
                <w:szCs w:val="21"/>
              </w:rPr>
              <w:t>表4-3本项目扩建后全厂营运期固体废物分析结果一览表</w:t>
            </w:r>
          </w:p>
          <w:tbl>
            <w:tblPr>
              <w:tblStyle w:val="19"/>
              <w:tblW w:w="8166"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433"/>
              <w:gridCol w:w="642"/>
              <w:gridCol w:w="557"/>
              <w:gridCol w:w="596"/>
              <w:gridCol w:w="731"/>
              <w:gridCol w:w="1779"/>
              <w:gridCol w:w="654"/>
              <w:gridCol w:w="1314"/>
              <w:gridCol w:w="871"/>
              <w:gridCol w:w="617"/>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33" w:type="dxa"/>
                  <w:tcBorders>
                    <w:tl2br w:val="nil"/>
                    <w:tr2bl w:val="nil"/>
                  </w:tcBorders>
                  <w:noWrap/>
                  <w:vAlign w:val="center"/>
                </w:tcPr>
                <w:p>
                  <w:pPr>
                    <w:topLinePunct/>
                    <w:adjustRightInd w:val="0"/>
                    <w:snapToGrid w:val="0"/>
                    <w:spacing w:line="240" w:lineRule="exact"/>
                    <w:jc w:val="center"/>
                    <w:rPr>
                      <w:b/>
                      <w:bCs/>
                      <w:color w:val="auto"/>
                      <w:szCs w:val="21"/>
                    </w:rPr>
                  </w:pPr>
                  <w:r>
                    <w:rPr>
                      <w:b/>
                      <w:bCs/>
                      <w:color w:val="auto"/>
                      <w:kern w:val="0"/>
                      <w:szCs w:val="21"/>
                    </w:rPr>
                    <w:t>序号</w:t>
                  </w:r>
                </w:p>
              </w:tc>
              <w:tc>
                <w:tcPr>
                  <w:tcW w:w="642" w:type="dxa"/>
                  <w:tcBorders>
                    <w:tl2br w:val="nil"/>
                    <w:tr2bl w:val="nil"/>
                  </w:tcBorders>
                  <w:noWrap/>
                  <w:vAlign w:val="center"/>
                </w:tcPr>
                <w:p>
                  <w:pPr>
                    <w:topLinePunct/>
                    <w:adjustRightInd w:val="0"/>
                    <w:snapToGrid w:val="0"/>
                    <w:spacing w:line="240" w:lineRule="exact"/>
                    <w:jc w:val="center"/>
                    <w:rPr>
                      <w:b/>
                      <w:bCs/>
                      <w:color w:val="auto"/>
                      <w:kern w:val="0"/>
                      <w:szCs w:val="21"/>
                    </w:rPr>
                  </w:pPr>
                  <w:r>
                    <w:rPr>
                      <w:b/>
                      <w:bCs/>
                      <w:color w:val="auto"/>
                      <w:kern w:val="0"/>
                      <w:szCs w:val="21"/>
                    </w:rPr>
                    <w:t>固废</w:t>
                  </w:r>
                </w:p>
                <w:p>
                  <w:pPr>
                    <w:topLinePunct/>
                    <w:adjustRightInd w:val="0"/>
                    <w:snapToGrid w:val="0"/>
                    <w:spacing w:line="240" w:lineRule="exact"/>
                    <w:jc w:val="center"/>
                    <w:rPr>
                      <w:b/>
                      <w:bCs/>
                      <w:color w:val="auto"/>
                      <w:szCs w:val="21"/>
                    </w:rPr>
                  </w:pPr>
                  <w:r>
                    <w:rPr>
                      <w:b/>
                      <w:bCs/>
                      <w:color w:val="auto"/>
                      <w:kern w:val="0"/>
                      <w:szCs w:val="21"/>
                    </w:rPr>
                    <w:t>名称</w:t>
                  </w:r>
                </w:p>
              </w:tc>
              <w:tc>
                <w:tcPr>
                  <w:tcW w:w="557" w:type="dxa"/>
                  <w:tcBorders>
                    <w:tl2br w:val="nil"/>
                    <w:tr2bl w:val="nil"/>
                  </w:tcBorders>
                  <w:noWrap/>
                  <w:vAlign w:val="center"/>
                </w:tcPr>
                <w:p>
                  <w:pPr>
                    <w:topLinePunct/>
                    <w:adjustRightInd w:val="0"/>
                    <w:snapToGrid w:val="0"/>
                    <w:spacing w:line="240" w:lineRule="exact"/>
                    <w:jc w:val="center"/>
                    <w:rPr>
                      <w:b/>
                      <w:bCs/>
                      <w:color w:val="auto"/>
                      <w:kern w:val="0"/>
                      <w:szCs w:val="21"/>
                    </w:rPr>
                  </w:pPr>
                  <w:r>
                    <w:rPr>
                      <w:b/>
                      <w:bCs/>
                      <w:color w:val="auto"/>
                      <w:kern w:val="0"/>
                      <w:szCs w:val="21"/>
                    </w:rPr>
                    <w:t>属性</w:t>
                  </w:r>
                </w:p>
              </w:tc>
              <w:tc>
                <w:tcPr>
                  <w:tcW w:w="596" w:type="dxa"/>
                  <w:tcBorders>
                    <w:tl2br w:val="nil"/>
                    <w:tr2bl w:val="nil"/>
                  </w:tcBorders>
                  <w:noWrap/>
                  <w:vAlign w:val="center"/>
                </w:tcPr>
                <w:p>
                  <w:pPr>
                    <w:spacing w:line="240" w:lineRule="exact"/>
                    <w:jc w:val="center"/>
                    <w:rPr>
                      <w:b/>
                      <w:bCs/>
                      <w:color w:val="auto"/>
                      <w:kern w:val="0"/>
                      <w:szCs w:val="21"/>
                    </w:rPr>
                  </w:pPr>
                  <w:r>
                    <w:rPr>
                      <w:b/>
                      <w:bCs/>
                      <w:color w:val="auto"/>
                      <w:kern w:val="0"/>
                      <w:szCs w:val="21"/>
                    </w:rPr>
                    <w:t>产生</w:t>
                  </w:r>
                </w:p>
                <w:p>
                  <w:pPr>
                    <w:spacing w:line="240" w:lineRule="exact"/>
                    <w:jc w:val="center"/>
                    <w:rPr>
                      <w:b/>
                      <w:bCs/>
                      <w:color w:val="auto"/>
                      <w:szCs w:val="21"/>
                    </w:rPr>
                  </w:pPr>
                  <w:r>
                    <w:rPr>
                      <w:b/>
                      <w:bCs/>
                      <w:color w:val="auto"/>
                      <w:kern w:val="0"/>
                      <w:szCs w:val="21"/>
                    </w:rPr>
                    <w:t>工序</w:t>
                  </w:r>
                </w:p>
              </w:tc>
              <w:tc>
                <w:tcPr>
                  <w:tcW w:w="731" w:type="dxa"/>
                  <w:tcBorders>
                    <w:tl2br w:val="nil"/>
                    <w:tr2bl w:val="nil"/>
                  </w:tcBorders>
                  <w:noWrap/>
                  <w:vAlign w:val="center"/>
                </w:tcPr>
                <w:p>
                  <w:pPr>
                    <w:topLinePunct/>
                    <w:adjustRightInd w:val="0"/>
                    <w:snapToGrid w:val="0"/>
                    <w:spacing w:line="240" w:lineRule="exact"/>
                    <w:jc w:val="center"/>
                    <w:rPr>
                      <w:b/>
                      <w:bCs/>
                      <w:color w:val="auto"/>
                      <w:szCs w:val="21"/>
                    </w:rPr>
                  </w:pPr>
                  <w:r>
                    <w:rPr>
                      <w:b/>
                      <w:bCs/>
                      <w:color w:val="auto"/>
                      <w:kern w:val="0"/>
                      <w:szCs w:val="21"/>
                    </w:rPr>
                    <w:t>主要成分</w:t>
                  </w:r>
                </w:p>
              </w:tc>
              <w:tc>
                <w:tcPr>
                  <w:tcW w:w="1779" w:type="dxa"/>
                  <w:tcBorders>
                    <w:tl2br w:val="nil"/>
                    <w:tr2bl w:val="nil"/>
                  </w:tcBorders>
                  <w:noWrap/>
                  <w:vAlign w:val="center"/>
                </w:tcPr>
                <w:p>
                  <w:pPr>
                    <w:spacing w:line="240" w:lineRule="exact"/>
                    <w:jc w:val="center"/>
                    <w:rPr>
                      <w:b/>
                      <w:bCs/>
                      <w:color w:val="auto"/>
                      <w:szCs w:val="21"/>
                    </w:rPr>
                  </w:pPr>
                  <w:r>
                    <w:rPr>
                      <w:b/>
                      <w:bCs/>
                      <w:color w:val="auto"/>
                      <w:kern w:val="0"/>
                      <w:szCs w:val="21"/>
                    </w:rPr>
                    <w:t>危险特性鉴别方法</w:t>
                  </w:r>
                </w:p>
              </w:tc>
              <w:tc>
                <w:tcPr>
                  <w:tcW w:w="654" w:type="dxa"/>
                  <w:tcBorders>
                    <w:tl2br w:val="nil"/>
                    <w:tr2bl w:val="nil"/>
                  </w:tcBorders>
                  <w:noWrap/>
                  <w:vAlign w:val="center"/>
                </w:tcPr>
                <w:p>
                  <w:pPr>
                    <w:spacing w:line="240" w:lineRule="exact"/>
                    <w:jc w:val="center"/>
                    <w:rPr>
                      <w:b/>
                      <w:bCs/>
                      <w:color w:val="auto"/>
                      <w:szCs w:val="21"/>
                    </w:rPr>
                  </w:pPr>
                  <w:r>
                    <w:rPr>
                      <w:b/>
                      <w:bCs/>
                      <w:color w:val="auto"/>
                      <w:kern w:val="0"/>
                      <w:szCs w:val="21"/>
                    </w:rPr>
                    <w:t>危险特性</w:t>
                  </w:r>
                </w:p>
              </w:tc>
              <w:tc>
                <w:tcPr>
                  <w:tcW w:w="1314" w:type="dxa"/>
                  <w:tcBorders>
                    <w:tl2br w:val="nil"/>
                    <w:tr2bl w:val="nil"/>
                  </w:tcBorders>
                  <w:noWrap/>
                  <w:vAlign w:val="center"/>
                </w:tcPr>
                <w:p>
                  <w:pPr>
                    <w:spacing w:line="240" w:lineRule="exact"/>
                    <w:jc w:val="center"/>
                    <w:rPr>
                      <w:b/>
                      <w:bCs/>
                      <w:color w:val="auto"/>
                      <w:kern w:val="0"/>
                      <w:szCs w:val="21"/>
                    </w:rPr>
                  </w:pPr>
                  <w:r>
                    <w:rPr>
                      <w:b/>
                      <w:bCs/>
                      <w:color w:val="auto"/>
                      <w:kern w:val="0"/>
                      <w:szCs w:val="21"/>
                    </w:rPr>
                    <w:t>废物类别及代码</w:t>
                  </w:r>
                </w:p>
              </w:tc>
              <w:tc>
                <w:tcPr>
                  <w:tcW w:w="843" w:type="dxa"/>
                  <w:tcBorders>
                    <w:tl2br w:val="nil"/>
                    <w:tr2bl w:val="nil"/>
                  </w:tcBorders>
                  <w:noWrap/>
                  <w:vAlign w:val="center"/>
                </w:tcPr>
                <w:p>
                  <w:pPr>
                    <w:spacing w:line="240" w:lineRule="exact"/>
                    <w:jc w:val="center"/>
                    <w:rPr>
                      <w:b/>
                      <w:bCs/>
                      <w:color w:val="auto"/>
                      <w:szCs w:val="21"/>
                    </w:rPr>
                  </w:pPr>
                  <w:r>
                    <w:rPr>
                      <w:b/>
                      <w:bCs/>
                      <w:color w:val="auto"/>
                      <w:kern w:val="0"/>
                      <w:szCs w:val="21"/>
                    </w:rPr>
                    <w:t>估算年产生量（t/a）</w:t>
                  </w:r>
                </w:p>
              </w:tc>
              <w:tc>
                <w:tcPr>
                  <w:tcW w:w="617" w:type="dxa"/>
                  <w:tcBorders>
                    <w:tl2br w:val="nil"/>
                    <w:tr2bl w:val="nil"/>
                  </w:tcBorders>
                  <w:noWrap/>
                  <w:vAlign w:val="center"/>
                </w:tcPr>
                <w:p>
                  <w:pPr>
                    <w:spacing w:line="240" w:lineRule="exact"/>
                    <w:jc w:val="center"/>
                    <w:rPr>
                      <w:b/>
                      <w:bCs/>
                      <w:color w:val="auto"/>
                      <w:kern w:val="0"/>
                      <w:szCs w:val="21"/>
                    </w:rPr>
                  </w:pPr>
                  <w:r>
                    <w:rPr>
                      <w:b/>
                      <w:bCs/>
                      <w:color w:val="auto"/>
                      <w:kern w:val="0"/>
                      <w:szCs w:val="21"/>
                    </w:rPr>
                    <w:t>污染防治措施</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433" w:type="dxa"/>
                  <w:tcBorders>
                    <w:tl2br w:val="nil"/>
                    <w:tr2bl w:val="nil"/>
                  </w:tcBorders>
                  <w:noWrap/>
                  <w:vAlign w:val="center"/>
                </w:tcPr>
                <w:p>
                  <w:pPr>
                    <w:spacing w:line="240" w:lineRule="exact"/>
                    <w:jc w:val="center"/>
                    <w:rPr>
                      <w:color w:val="auto"/>
                      <w:szCs w:val="21"/>
                    </w:rPr>
                  </w:pPr>
                  <w:r>
                    <w:rPr>
                      <w:color w:val="auto"/>
                      <w:szCs w:val="21"/>
                    </w:rPr>
                    <w:t>1</w:t>
                  </w:r>
                </w:p>
              </w:tc>
              <w:tc>
                <w:tcPr>
                  <w:tcW w:w="642" w:type="dxa"/>
                  <w:tcBorders>
                    <w:tl2br w:val="nil"/>
                    <w:tr2bl w:val="nil"/>
                  </w:tcBorders>
                  <w:noWrap/>
                  <w:vAlign w:val="center"/>
                </w:tcPr>
                <w:p>
                  <w:pPr>
                    <w:jc w:val="center"/>
                    <w:rPr>
                      <w:color w:val="auto"/>
                      <w:szCs w:val="21"/>
                    </w:rPr>
                  </w:pPr>
                  <w:r>
                    <w:rPr>
                      <w:color w:val="auto"/>
                      <w:szCs w:val="21"/>
                    </w:rPr>
                    <w:t>不合格品</w:t>
                  </w:r>
                </w:p>
              </w:tc>
              <w:tc>
                <w:tcPr>
                  <w:tcW w:w="557" w:type="dxa"/>
                  <w:tcBorders>
                    <w:tl2br w:val="nil"/>
                    <w:tr2bl w:val="nil"/>
                  </w:tcBorders>
                  <w:noWrap/>
                  <w:vAlign w:val="center"/>
                </w:tcPr>
                <w:p>
                  <w:pPr>
                    <w:jc w:val="center"/>
                    <w:rPr>
                      <w:color w:val="auto"/>
                      <w:szCs w:val="21"/>
                    </w:rPr>
                  </w:pPr>
                  <w:r>
                    <w:rPr>
                      <w:color w:val="auto"/>
                      <w:szCs w:val="21"/>
                    </w:rPr>
                    <w:t>固态</w:t>
                  </w:r>
                </w:p>
              </w:tc>
              <w:tc>
                <w:tcPr>
                  <w:tcW w:w="596" w:type="dxa"/>
                  <w:tcBorders>
                    <w:tl2br w:val="nil"/>
                    <w:tr2bl w:val="nil"/>
                  </w:tcBorders>
                  <w:noWrap/>
                  <w:vAlign w:val="center"/>
                </w:tcPr>
                <w:p>
                  <w:pPr>
                    <w:jc w:val="center"/>
                    <w:rPr>
                      <w:color w:val="auto"/>
                      <w:szCs w:val="21"/>
                    </w:rPr>
                  </w:pPr>
                  <w:r>
                    <w:rPr>
                      <w:color w:val="auto"/>
                      <w:szCs w:val="21"/>
                    </w:rPr>
                    <w:t>生产过程</w:t>
                  </w:r>
                </w:p>
              </w:tc>
              <w:tc>
                <w:tcPr>
                  <w:tcW w:w="731" w:type="dxa"/>
                  <w:tcBorders>
                    <w:tl2br w:val="nil"/>
                    <w:tr2bl w:val="nil"/>
                  </w:tcBorders>
                  <w:noWrap/>
                  <w:vAlign w:val="center"/>
                </w:tcPr>
                <w:p>
                  <w:pPr>
                    <w:jc w:val="center"/>
                    <w:rPr>
                      <w:color w:val="auto"/>
                      <w:szCs w:val="21"/>
                    </w:rPr>
                  </w:pPr>
                  <w:r>
                    <w:rPr>
                      <w:rFonts w:hint="eastAsia"/>
                      <w:color w:val="auto"/>
                      <w:szCs w:val="21"/>
                    </w:rPr>
                    <w:t>塑料</w:t>
                  </w:r>
                </w:p>
              </w:tc>
              <w:tc>
                <w:tcPr>
                  <w:tcW w:w="1779" w:type="dxa"/>
                  <w:vMerge w:val="restart"/>
                  <w:tcBorders>
                    <w:tl2br w:val="nil"/>
                    <w:tr2bl w:val="nil"/>
                  </w:tcBorders>
                  <w:noWrap/>
                  <w:vAlign w:val="center"/>
                </w:tcPr>
                <w:p>
                  <w:pPr>
                    <w:spacing w:line="240" w:lineRule="exact"/>
                    <w:jc w:val="center"/>
                    <w:rPr>
                      <w:color w:val="auto"/>
                      <w:kern w:val="0"/>
                      <w:szCs w:val="21"/>
                    </w:rPr>
                  </w:pPr>
                  <w:r>
                    <w:rPr>
                      <w:rFonts w:hint="eastAsia"/>
                      <w:snapToGrid w:val="0"/>
                      <w:color w:val="auto"/>
                      <w:kern w:val="0"/>
                      <w:szCs w:val="21"/>
                    </w:rPr>
                    <w:t>《固体废物分类与代码目录》（生态环境部公告2024年第4号）</w:t>
                  </w:r>
                </w:p>
              </w:tc>
              <w:tc>
                <w:tcPr>
                  <w:tcW w:w="654" w:type="dxa"/>
                  <w:tcBorders>
                    <w:tl2br w:val="nil"/>
                    <w:tr2bl w:val="nil"/>
                  </w:tcBorders>
                  <w:noWrap/>
                  <w:vAlign w:val="center"/>
                </w:tcPr>
                <w:p>
                  <w:pPr>
                    <w:spacing w:line="240" w:lineRule="exact"/>
                    <w:jc w:val="center"/>
                    <w:rPr>
                      <w:color w:val="auto"/>
                      <w:kern w:val="0"/>
                      <w:szCs w:val="21"/>
                    </w:rPr>
                  </w:pPr>
                  <w:r>
                    <w:rPr>
                      <w:color w:val="auto"/>
                      <w:kern w:val="0"/>
                      <w:szCs w:val="21"/>
                    </w:rPr>
                    <w:t>/</w:t>
                  </w:r>
                </w:p>
              </w:tc>
              <w:tc>
                <w:tcPr>
                  <w:tcW w:w="1314" w:type="dxa"/>
                  <w:tcBorders>
                    <w:tl2br w:val="nil"/>
                    <w:tr2bl w:val="nil"/>
                  </w:tcBorders>
                  <w:noWrap/>
                  <w:vAlign w:val="center"/>
                </w:tcPr>
                <w:p>
                  <w:pPr>
                    <w:spacing w:line="240" w:lineRule="exact"/>
                    <w:jc w:val="center"/>
                    <w:rPr>
                      <w:rFonts w:hint="default"/>
                      <w:color w:val="auto"/>
                      <w:kern w:val="0"/>
                      <w:szCs w:val="21"/>
                      <w:lang w:val="en-US"/>
                    </w:rPr>
                  </w:pPr>
                  <w:r>
                    <w:rPr>
                      <w:color w:val="auto"/>
                      <w:kern w:val="0"/>
                      <w:szCs w:val="21"/>
                    </w:rPr>
                    <w:t>9</w:t>
                  </w:r>
                  <w:r>
                    <w:rPr>
                      <w:rFonts w:hint="eastAsia"/>
                      <w:color w:val="auto"/>
                      <w:kern w:val="0"/>
                      <w:szCs w:val="21"/>
                      <w:lang w:val="en-US" w:eastAsia="zh-CN"/>
                    </w:rPr>
                    <w:t>00-099-S59</w:t>
                  </w:r>
                </w:p>
              </w:tc>
              <w:tc>
                <w:tcPr>
                  <w:tcW w:w="843" w:type="dxa"/>
                  <w:tcBorders>
                    <w:tl2br w:val="nil"/>
                    <w:tr2bl w:val="nil"/>
                  </w:tcBorders>
                  <w:noWrap/>
                  <w:vAlign w:val="center"/>
                </w:tcPr>
                <w:p>
                  <w:pPr>
                    <w:jc w:val="center"/>
                    <w:rPr>
                      <w:color w:val="auto"/>
                      <w:szCs w:val="21"/>
                    </w:rPr>
                  </w:pPr>
                  <w:r>
                    <w:rPr>
                      <w:color w:val="auto"/>
                      <w:szCs w:val="21"/>
                    </w:rPr>
                    <w:t>20</w:t>
                  </w:r>
                </w:p>
              </w:tc>
              <w:tc>
                <w:tcPr>
                  <w:tcW w:w="617" w:type="dxa"/>
                  <w:tcBorders>
                    <w:tl2br w:val="nil"/>
                    <w:tr2bl w:val="nil"/>
                  </w:tcBorders>
                  <w:noWrap/>
                  <w:vAlign w:val="center"/>
                </w:tcPr>
                <w:p>
                  <w:pPr>
                    <w:spacing w:line="240" w:lineRule="exact"/>
                    <w:jc w:val="center"/>
                    <w:rPr>
                      <w:color w:val="auto"/>
                      <w:kern w:val="0"/>
                      <w:szCs w:val="21"/>
                    </w:rPr>
                  </w:pPr>
                  <w:r>
                    <w:rPr>
                      <w:color w:val="auto"/>
                      <w:kern w:val="0"/>
                      <w:szCs w:val="21"/>
                    </w:rPr>
                    <w:t>外售综合利用</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433" w:type="dxa"/>
                  <w:tcBorders>
                    <w:tl2br w:val="nil"/>
                    <w:tr2bl w:val="nil"/>
                  </w:tcBorders>
                  <w:noWrap/>
                  <w:vAlign w:val="center"/>
                </w:tcPr>
                <w:p>
                  <w:pPr>
                    <w:spacing w:line="240" w:lineRule="exact"/>
                    <w:jc w:val="center"/>
                    <w:rPr>
                      <w:color w:val="auto"/>
                      <w:szCs w:val="21"/>
                    </w:rPr>
                  </w:pPr>
                  <w:r>
                    <w:rPr>
                      <w:color w:val="auto"/>
                      <w:szCs w:val="21"/>
                    </w:rPr>
                    <w:t>2</w:t>
                  </w:r>
                </w:p>
              </w:tc>
              <w:tc>
                <w:tcPr>
                  <w:tcW w:w="642" w:type="dxa"/>
                  <w:tcBorders>
                    <w:tl2br w:val="nil"/>
                    <w:tr2bl w:val="nil"/>
                  </w:tcBorders>
                  <w:noWrap/>
                  <w:vAlign w:val="center"/>
                </w:tcPr>
                <w:p>
                  <w:pPr>
                    <w:jc w:val="center"/>
                    <w:rPr>
                      <w:color w:val="auto"/>
                      <w:szCs w:val="21"/>
                    </w:rPr>
                  </w:pPr>
                  <w:r>
                    <w:rPr>
                      <w:color w:val="auto"/>
                      <w:szCs w:val="21"/>
                    </w:rPr>
                    <w:t>生活垃圾</w:t>
                  </w:r>
                </w:p>
              </w:tc>
              <w:tc>
                <w:tcPr>
                  <w:tcW w:w="557" w:type="dxa"/>
                  <w:tcBorders>
                    <w:tl2br w:val="nil"/>
                    <w:tr2bl w:val="nil"/>
                  </w:tcBorders>
                  <w:noWrap/>
                  <w:vAlign w:val="center"/>
                </w:tcPr>
                <w:p>
                  <w:pPr>
                    <w:jc w:val="center"/>
                    <w:rPr>
                      <w:color w:val="auto"/>
                      <w:szCs w:val="21"/>
                    </w:rPr>
                  </w:pPr>
                  <w:r>
                    <w:rPr>
                      <w:color w:val="auto"/>
                      <w:szCs w:val="21"/>
                    </w:rPr>
                    <w:t>半固态</w:t>
                  </w:r>
                </w:p>
              </w:tc>
              <w:tc>
                <w:tcPr>
                  <w:tcW w:w="596" w:type="dxa"/>
                  <w:tcBorders>
                    <w:tl2br w:val="nil"/>
                    <w:tr2bl w:val="nil"/>
                  </w:tcBorders>
                  <w:noWrap/>
                  <w:vAlign w:val="center"/>
                </w:tcPr>
                <w:p>
                  <w:pPr>
                    <w:jc w:val="center"/>
                    <w:rPr>
                      <w:color w:val="auto"/>
                      <w:szCs w:val="21"/>
                    </w:rPr>
                  </w:pPr>
                  <w:r>
                    <w:rPr>
                      <w:color w:val="auto"/>
                      <w:szCs w:val="21"/>
                    </w:rPr>
                    <w:t>员工生活</w:t>
                  </w:r>
                </w:p>
              </w:tc>
              <w:tc>
                <w:tcPr>
                  <w:tcW w:w="731" w:type="dxa"/>
                  <w:tcBorders>
                    <w:tl2br w:val="nil"/>
                    <w:tr2bl w:val="nil"/>
                  </w:tcBorders>
                  <w:noWrap/>
                  <w:vAlign w:val="center"/>
                </w:tcPr>
                <w:p>
                  <w:pPr>
                    <w:jc w:val="center"/>
                    <w:rPr>
                      <w:color w:val="auto"/>
                      <w:szCs w:val="21"/>
                    </w:rPr>
                  </w:pPr>
                  <w:r>
                    <w:rPr>
                      <w:color w:val="auto"/>
                      <w:szCs w:val="21"/>
                    </w:rPr>
                    <w:t>员工生活垃圾</w:t>
                  </w:r>
                </w:p>
              </w:tc>
              <w:tc>
                <w:tcPr>
                  <w:tcW w:w="1779" w:type="dxa"/>
                  <w:vMerge w:val="continue"/>
                  <w:tcBorders>
                    <w:tl2br w:val="nil"/>
                    <w:tr2bl w:val="nil"/>
                  </w:tcBorders>
                  <w:noWrap/>
                  <w:vAlign w:val="center"/>
                </w:tcPr>
                <w:p>
                  <w:pPr>
                    <w:spacing w:line="240" w:lineRule="exact"/>
                    <w:jc w:val="center"/>
                    <w:rPr>
                      <w:color w:val="auto"/>
                      <w:kern w:val="0"/>
                      <w:szCs w:val="21"/>
                    </w:rPr>
                  </w:pPr>
                </w:p>
              </w:tc>
              <w:tc>
                <w:tcPr>
                  <w:tcW w:w="654" w:type="dxa"/>
                  <w:tcBorders>
                    <w:tl2br w:val="nil"/>
                    <w:tr2bl w:val="nil"/>
                  </w:tcBorders>
                  <w:noWrap/>
                  <w:vAlign w:val="center"/>
                </w:tcPr>
                <w:p>
                  <w:pPr>
                    <w:spacing w:line="240" w:lineRule="exact"/>
                    <w:jc w:val="center"/>
                    <w:rPr>
                      <w:color w:val="auto"/>
                      <w:kern w:val="0"/>
                      <w:szCs w:val="21"/>
                    </w:rPr>
                  </w:pPr>
                  <w:r>
                    <w:rPr>
                      <w:color w:val="auto"/>
                      <w:kern w:val="0"/>
                      <w:szCs w:val="21"/>
                    </w:rPr>
                    <w:t>/</w:t>
                  </w:r>
                </w:p>
              </w:tc>
              <w:tc>
                <w:tcPr>
                  <w:tcW w:w="1314" w:type="dxa"/>
                  <w:tcBorders>
                    <w:tl2br w:val="nil"/>
                    <w:tr2bl w:val="nil"/>
                  </w:tcBorders>
                  <w:noWrap/>
                  <w:vAlign w:val="center"/>
                </w:tcPr>
                <w:p>
                  <w:pPr>
                    <w:spacing w:line="240" w:lineRule="exact"/>
                    <w:jc w:val="center"/>
                    <w:rPr>
                      <w:rFonts w:hint="default" w:eastAsia="宋体"/>
                      <w:color w:val="auto"/>
                      <w:kern w:val="0"/>
                      <w:szCs w:val="21"/>
                      <w:lang w:val="en-US" w:eastAsia="zh-CN"/>
                    </w:rPr>
                  </w:pPr>
                  <w:r>
                    <w:rPr>
                      <w:rFonts w:hint="eastAsia"/>
                      <w:color w:val="auto"/>
                      <w:kern w:val="0"/>
                      <w:szCs w:val="21"/>
                      <w:lang w:val="en-US" w:eastAsia="zh-CN"/>
                    </w:rPr>
                    <w:t>900-099-S64</w:t>
                  </w:r>
                </w:p>
              </w:tc>
              <w:tc>
                <w:tcPr>
                  <w:tcW w:w="843" w:type="dxa"/>
                  <w:tcBorders>
                    <w:tl2br w:val="nil"/>
                    <w:tr2bl w:val="nil"/>
                  </w:tcBorders>
                  <w:noWrap/>
                  <w:vAlign w:val="center"/>
                </w:tcPr>
                <w:p>
                  <w:pPr>
                    <w:jc w:val="center"/>
                    <w:rPr>
                      <w:color w:val="auto"/>
                      <w:szCs w:val="21"/>
                    </w:rPr>
                  </w:pPr>
                  <w:r>
                    <w:rPr>
                      <w:color w:val="auto"/>
                      <w:szCs w:val="21"/>
                    </w:rPr>
                    <w:t>1.68</w:t>
                  </w:r>
                </w:p>
              </w:tc>
              <w:tc>
                <w:tcPr>
                  <w:tcW w:w="617" w:type="dxa"/>
                  <w:tcBorders>
                    <w:tl2br w:val="nil"/>
                    <w:tr2bl w:val="nil"/>
                  </w:tcBorders>
                  <w:noWrap/>
                  <w:vAlign w:val="center"/>
                </w:tcPr>
                <w:p>
                  <w:pPr>
                    <w:spacing w:line="240" w:lineRule="exact"/>
                    <w:jc w:val="center"/>
                    <w:rPr>
                      <w:color w:val="auto"/>
                      <w:kern w:val="0"/>
                      <w:szCs w:val="21"/>
                    </w:rPr>
                  </w:pPr>
                  <w:r>
                    <w:rPr>
                      <w:color w:val="auto"/>
                      <w:kern w:val="0"/>
                      <w:szCs w:val="21"/>
                    </w:rPr>
                    <w:t>环卫清运</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433" w:type="dxa"/>
                  <w:noWrap/>
                  <w:vAlign w:val="center"/>
                </w:tcPr>
                <w:p>
                  <w:pPr>
                    <w:spacing w:line="240" w:lineRule="exact"/>
                    <w:jc w:val="center"/>
                    <w:rPr>
                      <w:color w:val="auto"/>
                      <w:szCs w:val="21"/>
                    </w:rPr>
                  </w:pPr>
                  <w:r>
                    <w:rPr>
                      <w:color w:val="auto"/>
                      <w:szCs w:val="21"/>
                    </w:rPr>
                    <w:t>3</w:t>
                  </w:r>
                </w:p>
              </w:tc>
              <w:tc>
                <w:tcPr>
                  <w:tcW w:w="642" w:type="dxa"/>
                  <w:noWrap/>
                  <w:vAlign w:val="center"/>
                </w:tcPr>
                <w:p>
                  <w:pPr>
                    <w:jc w:val="center"/>
                    <w:rPr>
                      <w:color w:val="auto"/>
                      <w:szCs w:val="21"/>
                    </w:rPr>
                  </w:pPr>
                  <w:r>
                    <w:rPr>
                      <w:color w:val="auto"/>
                      <w:szCs w:val="21"/>
                    </w:rPr>
                    <w:t>废包装桶</w:t>
                  </w:r>
                </w:p>
              </w:tc>
              <w:tc>
                <w:tcPr>
                  <w:tcW w:w="557" w:type="dxa"/>
                  <w:noWrap/>
                  <w:vAlign w:val="center"/>
                </w:tcPr>
                <w:p>
                  <w:pPr>
                    <w:jc w:val="center"/>
                    <w:rPr>
                      <w:color w:val="auto"/>
                      <w:szCs w:val="21"/>
                    </w:rPr>
                  </w:pPr>
                  <w:r>
                    <w:rPr>
                      <w:color w:val="auto"/>
                      <w:szCs w:val="21"/>
                    </w:rPr>
                    <w:t>固态</w:t>
                  </w:r>
                </w:p>
              </w:tc>
              <w:tc>
                <w:tcPr>
                  <w:tcW w:w="596" w:type="dxa"/>
                  <w:noWrap/>
                  <w:vAlign w:val="center"/>
                </w:tcPr>
                <w:p>
                  <w:pPr>
                    <w:jc w:val="center"/>
                    <w:rPr>
                      <w:color w:val="auto"/>
                      <w:szCs w:val="21"/>
                    </w:rPr>
                  </w:pPr>
                  <w:r>
                    <w:rPr>
                      <w:color w:val="auto"/>
                      <w:szCs w:val="21"/>
                    </w:rPr>
                    <w:t>原料包装</w:t>
                  </w:r>
                </w:p>
              </w:tc>
              <w:tc>
                <w:tcPr>
                  <w:tcW w:w="731" w:type="dxa"/>
                  <w:noWrap/>
                  <w:vAlign w:val="center"/>
                </w:tcPr>
                <w:p>
                  <w:pPr>
                    <w:jc w:val="center"/>
                    <w:rPr>
                      <w:color w:val="auto"/>
                    </w:rPr>
                  </w:pPr>
                  <w:r>
                    <w:rPr>
                      <w:color w:val="auto"/>
                      <w:szCs w:val="21"/>
                    </w:rPr>
                    <w:t>包装桶</w:t>
                  </w:r>
                </w:p>
              </w:tc>
              <w:tc>
                <w:tcPr>
                  <w:tcW w:w="1779" w:type="dxa"/>
                  <w:vMerge w:val="restart"/>
                  <w:noWrap/>
                  <w:vAlign w:val="center"/>
                </w:tcPr>
                <w:p>
                  <w:pPr>
                    <w:spacing w:line="240" w:lineRule="exact"/>
                    <w:jc w:val="center"/>
                    <w:rPr>
                      <w:color w:val="auto"/>
                      <w:kern w:val="0"/>
                      <w:szCs w:val="21"/>
                    </w:rPr>
                  </w:pPr>
                  <w:r>
                    <w:rPr>
                      <w:snapToGrid w:val="0"/>
                      <w:color w:val="auto"/>
                      <w:kern w:val="0"/>
                      <w:szCs w:val="21"/>
                    </w:rPr>
                    <w:t>《国家危险废物名录》（2021年版）</w:t>
                  </w:r>
                </w:p>
              </w:tc>
              <w:tc>
                <w:tcPr>
                  <w:tcW w:w="654" w:type="dxa"/>
                  <w:noWrap/>
                  <w:vAlign w:val="center"/>
                </w:tcPr>
                <w:p>
                  <w:pPr>
                    <w:spacing w:line="240" w:lineRule="exact"/>
                    <w:jc w:val="center"/>
                    <w:rPr>
                      <w:color w:val="auto"/>
                      <w:spacing w:val="-8"/>
                      <w:kern w:val="0"/>
                      <w:szCs w:val="21"/>
                    </w:rPr>
                  </w:pPr>
                  <w:r>
                    <w:rPr>
                      <w:color w:val="auto"/>
                      <w:spacing w:val="-8"/>
                      <w:kern w:val="0"/>
                      <w:szCs w:val="21"/>
                    </w:rPr>
                    <w:t>T/In</w:t>
                  </w:r>
                </w:p>
              </w:tc>
              <w:tc>
                <w:tcPr>
                  <w:tcW w:w="1314" w:type="dxa"/>
                  <w:noWrap/>
                  <w:vAlign w:val="center"/>
                </w:tcPr>
                <w:p>
                  <w:pPr>
                    <w:spacing w:line="240" w:lineRule="atLeast"/>
                    <w:jc w:val="center"/>
                    <w:rPr>
                      <w:color w:val="auto"/>
                      <w:szCs w:val="21"/>
                    </w:rPr>
                  </w:pPr>
                  <w:r>
                    <w:rPr>
                      <w:color w:val="auto"/>
                      <w:szCs w:val="21"/>
                    </w:rPr>
                    <w:t>HW08</w:t>
                  </w:r>
                </w:p>
                <w:p>
                  <w:pPr>
                    <w:spacing w:line="240" w:lineRule="atLeast"/>
                    <w:jc w:val="center"/>
                    <w:rPr>
                      <w:color w:val="auto"/>
                    </w:rPr>
                  </w:pPr>
                  <w:r>
                    <w:rPr>
                      <w:color w:val="auto"/>
                      <w:szCs w:val="21"/>
                    </w:rPr>
                    <w:t>900-249-08</w:t>
                  </w:r>
                </w:p>
              </w:tc>
              <w:tc>
                <w:tcPr>
                  <w:tcW w:w="843" w:type="dxa"/>
                  <w:noWrap/>
                  <w:vAlign w:val="center"/>
                </w:tcPr>
                <w:p>
                  <w:pPr>
                    <w:jc w:val="center"/>
                    <w:rPr>
                      <w:color w:val="auto"/>
                      <w:szCs w:val="21"/>
                      <w:highlight w:val="yellow"/>
                    </w:rPr>
                  </w:pPr>
                  <w:r>
                    <w:rPr>
                      <w:color w:val="auto"/>
                      <w:szCs w:val="21"/>
                    </w:rPr>
                    <w:t>0.5</w:t>
                  </w:r>
                </w:p>
              </w:tc>
              <w:tc>
                <w:tcPr>
                  <w:tcW w:w="617" w:type="dxa"/>
                  <w:vMerge w:val="restart"/>
                  <w:noWrap/>
                  <w:vAlign w:val="center"/>
                </w:tcPr>
                <w:p>
                  <w:pPr>
                    <w:spacing w:line="240" w:lineRule="exact"/>
                    <w:jc w:val="center"/>
                    <w:rPr>
                      <w:color w:val="auto"/>
                      <w:kern w:val="0"/>
                      <w:szCs w:val="21"/>
                    </w:rPr>
                  </w:pPr>
                  <w:r>
                    <w:rPr>
                      <w:color w:val="auto"/>
                      <w:kern w:val="0"/>
                      <w:szCs w:val="21"/>
                    </w:rPr>
                    <w:t>委托资质单位处置</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33" w:type="dxa"/>
                  <w:noWrap/>
                  <w:vAlign w:val="center"/>
                </w:tcPr>
                <w:p>
                  <w:pPr>
                    <w:spacing w:line="240" w:lineRule="exact"/>
                    <w:jc w:val="center"/>
                    <w:rPr>
                      <w:color w:val="auto"/>
                      <w:szCs w:val="21"/>
                    </w:rPr>
                  </w:pPr>
                  <w:r>
                    <w:rPr>
                      <w:color w:val="auto"/>
                      <w:szCs w:val="21"/>
                    </w:rPr>
                    <w:t>4</w:t>
                  </w:r>
                </w:p>
              </w:tc>
              <w:tc>
                <w:tcPr>
                  <w:tcW w:w="642" w:type="dxa"/>
                  <w:noWrap/>
                  <w:vAlign w:val="center"/>
                </w:tcPr>
                <w:p>
                  <w:pPr>
                    <w:jc w:val="center"/>
                    <w:rPr>
                      <w:color w:val="auto"/>
                      <w:szCs w:val="21"/>
                    </w:rPr>
                  </w:pPr>
                  <w:r>
                    <w:rPr>
                      <w:color w:val="auto"/>
                      <w:szCs w:val="21"/>
                    </w:rPr>
                    <w:t>废包装瓶</w:t>
                  </w:r>
                </w:p>
              </w:tc>
              <w:tc>
                <w:tcPr>
                  <w:tcW w:w="557" w:type="dxa"/>
                  <w:noWrap/>
                  <w:vAlign w:val="center"/>
                </w:tcPr>
                <w:p>
                  <w:pPr>
                    <w:jc w:val="center"/>
                    <w:rPr>
                      <w:color w:val="auto"/>
                      <w:szCs w:val="21"/>
                    </w:rPr>
                  </w:pPr>
                  <w:r>
                    <w:rPr>
                      <w:color w:val="auto"/>
                      <w:szCs w:val="21"/>
                    </w:rPr>
                    <w:t>固态</w:t>
                  </w:r>
                </w:p>
              </w:tc>
              <w:tc>
                <w:tcPr>
                  <w:tcW w:w="596" w:type="dxa"/>
                  <w:noWrap/>
                  <w:vAlign w:val="center"/>
                </w:tcPr>
                <w:p>
                  <w:pPr>
                    <w:jc w:val="center"/>
                    <w:rPr>
                      <w:color w:val="auto"/>
                      <w:szCs w:val="21"/>
                    </w:rPr>
                  </w:pPr>
                  <w:r>
                    <w:rPr>
                      <w:color w:val="auto"/>
                      <w:szCs w:val="21"/>
                    </w:rPr>
                    <w:t>原料包装</w:t>
                  </w:r>
                </w:p>
              </w:tc>
              <w:tc>
                <w:tcPr>
                  <w:tcW w:w="731" w:type="dxa"/>
                  <w:noWrap/>
                  <w:vAlign w:val="center"/>
                </w:tcPr>
                <w:p>
                  <w:pPr>
                    <w:jc w:val="center"/>
                    <w:rPr>
                      <w:color w:val="auto"/>
                    </w:rPr>
                  </w:pPr>
                  <w:r>
                    <w:rPr>
                      <w:color w:val="auto"/>
                      <w:szCs w:val="21"/>
                    </w:rPr>
                    <w:t>包装瓶</w:t>
                  </w:r>
                </w:p>
              </w:tc>
              <w:tc>
                <w:tcPr>
                  <w:tcW w:w="1779" w:type="dxa"/>
                  <w:vMerge w:val="continue"/>
                  <w:noWrap/>
                  <w:vAlign w:val="center"/>
                </w:tcPr>
                <w:p>
                  <w:pPr>
                    <w:spacing w:line="240" w:lineRule="exact"/>
                    <w:jc w:val="center"/>
                    <w:rPr>
                      <w:snapToGrid w:val="0"/>
                      <w:color w:val="auto"/>
                      <w:kern w:val="0"/>
                      <w:szCs w:val="21"/>
                    </w:rPr>
                  </w:pPr>
                </w:p>
              </w:tc>
              <w:tc>
                <w:tcPr>
                  <w:tcW w:w="654" w:type="dxa"/>
                  <w:noWrap/>
                  <w:vAlign w:val="center"/>
                </w:tcPr>
                <w:p>
                  <w:pPr>
                    <w:spacing w:line="240" w:lineRule="exact"/>
                    <w:jc w:val="center"/>
                    <w:rPr>
                      <w:color w:val="auto"/>
                      <w:spacing w:val="-8"/>
                      <w:kern w:val="0"/>
                      <w:szCs w:val="21"/>
                    </w:rPr>
                  </w:pPr>
                  <w:r>
                    <w:rPr>
                      <w:color w:val="auto"/>
                      <w:spacing w:val="-8"/>
                      <w:kern w:val="0"/>
                      <w:szCs w:val="21"/>
                    </w:rPr>
                    <w:t>T/In</w:t>
                  </w:r>
                </w:p>
              </w:tc>
              <w:tc>
                <w:tcPr>
                  <w:tcW w:w="1314" w:type="dxa"/>
                  <w:noWrap/>
                  <w:vAlign w:val="center"/>
                </w:tcPr>
                <w:p>
                  <w:pPr>
                    <w:spacing w:line="240" w:lineRule="atLeast"/>
                    <w:jc w:val="center"/>
                    <w:rPr>
                      <w:color w:val="auto"/>
                    </w:rPr>
                  </w:pPr>
                  <w:r>
                    <w:rPr>
                      <w:color w:val="auto"/>
                      <w:szCs w:val="21"/>
                    </w:rPr>
                    <w:t>HW49</w:t>
                  </w:r>
                </w:p>
                <w:p>
                  <w:pPr>
                    <w:spacing w:line="240" w:lineRule="atLeast"/>
                    <w:jc w:val="center"/>
                    <w:rPr>
                      <w:color w:val="auto"/>
                    </w:rPr>
                  </w:pPr>
                  <w:r>
                    <w:rPr>
                      <w:color w:val="auto"/>
                      <w:szCs w:val="21"/>
                    </w:rPr>
                    <w:t>900-041-49</w:t>
                  </w:r>
                </w:p>
              </w:tc>
              <w:tc>
                <w:tcPr>
                  <w:tcW w:w="843" w:type="dxa"/>
                  <w:noWrap/>
                  <w:vAlign w:val="center"/>
                </w:tcPr>
                <w:p>
                  <w:pPr>
                    <w:jc w:val="center"/>
                    <w:rPr>
                      <w:color w:val="auto"/>
                      <w:szCs w:val="21"/>
                    </w:rPr>
                  </w:pPr>
                  <w:r>
                    <w:rPr>
                      <w:color w:val="auto"/>
                      <w:szCs w:val="21"/>
                    </w:rPr>
                    <w:t>0.1</w:t>
                  </w:r>
                </w:p>
              </w:tc>
              <w:tc>
                <w:tcPr>
                  <w:tcW w:w="617" w:type="dxa"/>
                  <w:vMerge w:val="continue"/>
                  <w:noWrap/>
                  <w:vAlign w:val="center"/>
                </w:tcPr>
                <w:p>
                  <w:pPr>
                    <w:spacing w:line="240" w:lineRule="exact"/>
                    <w:jc w:val="center"/>
                    <w:rPr>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33" w:type="dxa"/>
                  <w:noWrap/>
                  <w:vAlign w:val="center"/>
                </w:tcPr>
                <w:p>
                  <w:pPr>
                    <w:spacing w:line="240" w:lineRule="exact"/>
                    <w:jc w:val="center"/>
                    <w:rPr>
                      <w:color w:val="auto"/>
                      <w:szCs w:val="21"/>
                    </w:rPr>
                  </w:pPr>
                  <w:r>
                    <w:rPr>
                      <w:color w:val="auto"/>
                      <w:szCs w:val="21"/>
                    </w:rPr>
                    <w:t>5</w:t>
                  </w:r>
                </w:p>
              </w:tc>
              <w:tc>
                <w:tcPr>
                  <w:tcW w:w="642" w:type="dxa"/>
                  <w:noWrap/>
                  <w:vAlign w:val="center"/>
                </w:tcPr>
                <w:p>
                  <w:pPr>
                    <w:jc w:val="center"/>
                    <w:rPr>
                      <w:color w:val="auto"/>
                      <w:szCs w:val="21"/>
                    </w:rPr>
                  </w:pPr>
                  <w:r>
                    <w:rPr>
                      <w:color w:val="auto"/>
                      <w:szCs w:val="21"/>
                    </w:rPr>
                    <w:t>废抹布</w:t>
                  </w:r>
                </w:p>
              </w:tc>
              <w:tc>
                <w:tcPr>
                  <w:tcW w:w="557" w:type="dxa"/>
                  <w:noWrap/>
                  <w:vAlign w:val="center"/>
                </w:tcPr>
                <w:p>
                  <w:pPr>
                    <w:jc w:val="center"/>
                    <w:rPr>
                      <w:color w:val="auto"/>
                      <w:szCs w:val="21"/>
                    </w:rPr>
                  </w:pPr>
                  <w:r>
                    <w:rPr>
                      <w:color w:val="auto"/>
                      <w:szCs w:val="21"/>
                    </w:rPr>
                    <w:t>固态</w:t>
                  </w:r>
                </w:p>
              </w:tc>
              <w:tc>
                <w:tcPr>
                  <w:tcW w:w="596" w:type="dxa"/>
                  <w:noWrap/>
                  <w:vAlign w:val="center"/>
                </w:tcPr>
                <w:p>
                  <w:pPr>
                    <w:jc w:val="center"/>
                    <w:rPr>
                      <w:color w:val="auto"/>
                      <w:szCs w:val="21"/>
                    </w:rPr>
                  </w:pPr>
                  <w:r>
                    <w:rPr>
                      <w:color w:val="auto"/>
                      <w:szCs w:val="21"/>
                    </w:rPr>
                    <w:t>清洁</w:t>
                  </w:r>
                </w:p>
              </w:tc>
              <w:tc>
                <w:tcPr>
                  <w:tcW w:w="731" w:type="dxa"/>
                  <w:noWrap/>
                  <w:vAlign w:val="center"/>
                </w:tcPr>
                <w:p>
                  <w:pPr>
                    <w:jc w:val="center"/>
                    <w:rPr>
                      <w:color w:val="auto"/>
                    </w:rPr>
                  </w:pPr>
                  <w:r>
                    <w:rPr>
                      <w:color w:val="auto"/>
                      <w:szCs w:val="21"/>
                    </w:rPr>
                    <w:t>抹布</w:t>
                  </w:r>
                </w:p>
              </w:tc>
              <w:tc>
                <w:tcPr>
                  <w:tcW w:w="1779" w:type="dxa"/>
                  <w:vMerge w:val="continue"/>
                  <w:noWrap/>
                  <w:vAlign w:val="center"/>
                </w:tcPr>
                <w:p>
                  <w:pPr>
                    <w:spacing w:line="240" w:lineRule="exact"/>
                    <w:jc w:val="center"/>
                    <w:rPr>
                      <w:snapToGrid w:val="0"/>
                      <w:color w:val="auto"/>
                      <w:kern w:val="0"/>
                      <w:szCs w:val="21"/>
                    </w:rPr>
                  </w:pPr>
                </w:p>
              </w:tc>
              <w:tc>
                <w:tcPr>
                  <w:tcW w:w="654" w:type="dxa"/>
                  <w:noWrap/>
                  <w:vAlign w:val="center"/>
                </w:tcPr>
                <w:p>
                  <w:pPr>
                    <w:spacing w:line="240" w:lineRule="exact"/>
                    <w:jc w:val="center"/>
                    <w:rPr>
                      <w:color w:val="auto"/>
                      <w:spacing w:val="-8"/>
                      <w:kern w:val="0"/>
                      <w:szCs w:val="21"/>
                    </w:rPr>
                  </w:pPr>
                  <w:r>
                    <w:rPr>
                      <w:color w:val="auto"/>
                      <w:spacing w:val="-8"/>
                      <w:kern w:val="0"/>
                      <w:szCs w:val="21"/>
                    </w:rPr>
                    <w:t>T/In</w:t>
                  </w:r>
                </w:p>
              </w:tc>
              <w:tc>
                <w:tcPr>
                  <w:tcW w:w="1314" w:type="dxa"/>
                  <w:noWrap/>
                  <w:vAlign w:val="center"/>
                </w:tcPr>
                <w:p>
                  <w:pPr>
                    <w:spacing w:line="240" w:lineRule="atLeast"/>
                    <w:jc w:val="center"/>
                    <w:rPr>
                      <w:color w:val="auto"/>
                    </w:rPr>
                  </w:pPr>
                  <w:r>
                    <w:rPr>
                      <w:color w:val="auto"/>
                      <w:szCs w:val="21"/>
                    </w:rPr>
                    <w:t>900-041-49</w:t>
                  </w:r>
                </w:p>
              </w:tc>
              <w:tc>
                <w:tcPr>
                  <w:tcW w:w="843" w:type="dxa"/>
                  <w:noWrap/>
                  <w:vAlign w:val="center"/>
                </w:tcPr>
                <w:p>
                  <w:pPr>
                    <w:jc w:val="center"/>
                    <w:rPr>
                      <w:color w:val="auto"/>
                      <w:szCs w:val="21"/>
                    </w:rPr>
                  </w:pPr>
                  <w:r>
                    <w:rPr>
                      <w:color w:val="auto"/>
                      <w:szCs w:val="21"/>
                    </w:rPr>
                    <w:t>0.1</w:t>
                  </w:r>
                </w:p>
              </w:tc>
              <w:tc>
                <w:tcPr>
                  <w:tcW w:w="617" w:type="dxa"/>
                  <w:vMerge w:val="continue"/>
                  <w:noWrap/>
                  <w:vAlign w:val="center"/>
                </w:tcPr>
                <w:p>
                  <w:pPr>
                    <w:spacing w:line="240" w:lineRule="exact"/>
                    <w:jc w:val="center"/>
                    <w:rPr>
                      <w:color w:val="auto"/>
                      <w:kern w:val="0"/>
                      <w:szCs w:val="21"/>
                    </w:rPr>
                  </w:pPr>
                </w:p>
              </w:tc>
            </w:tr>
          </w:tbl>
          <w:p>
            <w:pPr>
              <w:pStyle w:val="46"/>
              <w:tabs>
                <w:tab w:val="left" w:pos="1200"/>
              </w:tabs>
              <w:snapToGrid w:val="0"/>
              <w:spacing w:after="0" w:line="360" w:lineRule="auto"/>
              <w:ind w:left="0" w:leftChars="0" w:firstLine="482" w:firstLineChars="200"/>
              <w:jc w:val="left"/>
              <w:rPr>
                <w:rFonts w:ascii="Times New Roman" w:hAnsi="Times New Roman" w:cs="Times New Roman"/>
                <w:b/>
                <w:bCs/>
                <w:color w:val="auto"/>
                <w:szCs w:val="24"/>
              </w:rPr>
            </w:pPr>
            <w:r>
              <w:rPr>
                <w:rFonts w:ascii="Times New Roman" w:hAnsi="Times New Roman" w:cs="Times New Roman"/>
                <w:b/>
                <w:bCs/>
                <w:color w:val="auto"/>
                <w:szCs w:val="24"/>
              </w:rPr>
              <w:t>4.3固废治理方案</w:t>
            </w:r>
          </w:p>
          <w:p>
            <w:pPr>
              <w:jc w:val="center"/>
              <w:rPr>
                <w:b/>
                <w:bCs/>
                <w:color w:val="auto"/>
                <w:sz w:val="24"/>
              </w:rPr>
            </w:pPr>
            <w:r>
              <w:rPr>
                <w:b/>
                <w:bCs/>
                <w:color w:val="auto"/>
                <w:szCs w:val="21"/>
              </w:rPr>
              <w:t>表4-4本项目扩建后全厂营运期固体废物利用处置方式</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5"/>
              <w:gridCol w:w="751"/>
              <w:gridCol w:w="751"/>
              <w:gridCol w:w="754"/>
              <w:gridCol w:w="1059"/>
              <w:gridCol w:w="915"/>
              <w:gridCol w:w="1037"/>
              <w:gridCol w:w="1286"/>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ign w:val="center"/>
                </w:tcPr>
                <w:p>
                  <w:pPr>
                    <w:topLinePunct/>
                    <w:adjustRightInd w:val="0"/>
                    <w:snapToGrid w:val="0"/>
                    <w:jc w:val="center"/>
                    <w:rPr>
                      <w:b/>
                      <w:bCs/>
                      <w:color w:val="auto"/>
                      <w:kern w:val="0"/>
                      <w:szCs w:val="21"/>
                    </w:rPr>
                  </w:pPr>
                  <w:r>
                    <w:rPr>
                      <w:b/>
                      <w:bCs/>
                      <w:color w:val="auto"/>
                      <w:kern w:val="0"/>
                      <w:szCs w:val="21"/>
                    </w:rPr>
                    <w:t>序号</w:t>
                  </w:r>
                </w:p>
              </w:tc>
              <w:tc>
                <w:tcPr>
                  <w:tcW w:w="0" w:type="auto"/>
                  <w:noWrap/>
                  <w:vAlign w:val="center"/>
                </w:tcPr>
                <w:p>
                  <w:pPr>
                    <w:topLinePunct/>
                    <w:adjustRightInd w:val="0"/>
                    <w:snapToGrid w:val="0"/>
                    <w:jc w:val="center"/>
                    <w:rPr>
                      <w:b/>
                      <w:bCs/>
                      <w:color w:val="auto"/>
                      <w:kern w:val="0"/>
                      <w:szCs w:val="21"/>
                    </w:rPr>
                  </w:pPr>
                  <w:r>
                    <w:rPr>
                      <w:b/>
                      <w:bCs/>
                      <w:color w:val="auto"/>
                      <w:kern w:val="0"/>
                      <w:szCs w:val="21"/>
                    </w:rPr>
                    <w:t>名称</w:t>
                  </w:r>
                </w:p>
              </w:tc>
              <w:tc>
                <w:tcPr>
                  <w:tcW w:w="0" w:type="auto"/>
                  <w:noWrap/>
                  <w:vAlign w:val="center"/>
                </w:tcPr>
                <w:p>
                  <w:pPr>
                    <w:topLinePunct/>
                    <w:adjustRightInd w:val="0"/>
                    <w:snapToGrid w:val="0"/>
                    <w:jc w:val="center"/>
                    <w:rPr>
                      <w:b/>
                      <w:bCs/>
                      <w:color w:val="auto"/>
                      <w:kern w:val="0"/>
                      <w:szCs w:val="21"/>
                    </w:rPr>
                  </w:pPr>
                  <w:r>
                    <w:rPr>
                      <w:b/>
                      <w:bCs/>
                      <w:color w:val="auto"/>
                      <w:kern w:val="0"/>
                      <w:szCs w:val="21"/>
                    </w:rPr>
                    <w:t>属性</w:t>
                  </w:r>
                </w:p>
              </w:tc>
              <w:tc>
                <w:tcPr>
                  <w:tcW w:w="0" w:type="auto"/>
                  <w:noWrap/>
                  <w:vAlign w:val="center"/>
                </w:tcPr>
                <w:p>
                  <w:pPr>
                    <w:topLinePunct/>
                    <w:adjustRightInd w:val="0"/>
                    <w:snapToGrid w:val="0"/>
                    <w:jc w:val="center"/>
                    <w:rPr>
                      <w:b/>
                      <w:bCs/>
                      <w:color w:val="auto"/>
                      <w:kern w:val="0"/>
                      <w:szCs w:val="21"/>
                    </w:rPr>
                  </w:pPr>
                  <w:r>
                    <w:rPr>
                      <w:b/>
                      <w:bCs/>
                      <w:color w:val="auto"/>
                      <w:kern w:val="0"/>
                      <w:szCs w:val="21"/>
                    </w:rPr>
                    <w:t>危险特性</w:t>
                  </w:r>
                </w:p>
              </w:tc>
              <w:tc>
                <w:tcPr>
                  <w:tcW w:w="0" w:type="auto"/>
                  <w:noWrap/>
                  <w:vAlign w:val="center"/>
                </w:tcPr>
                <w:p>
                  <w:pPr>
                    <w:topLinePunct/>
                    <w:adjustRightInd w:val="0"/>
                    <w:snapToGrid w:val="0"/>
                    <w:jc w:val="center"/>
                    <w:rPr>
                      <w:rFonts w:hint="eastAsia" w:eastAsia="宋体"/>
                      <w:b/>
                      <w:bCs/>
                      <w:color w:val="auto"/>
                      <w:kern w:val="0"/>
                      <w:szCs w:val="21"/>
                      <w:lang w:val="en-US" w:eastAsia="zh-CN"/>
                    </w:rPr>
                  </w:pPr>
                  <w:r>
                    <w:rPr>
                      <w:b/>
                      <w:bCs/>
                      <w:color w:val="auto"/>
                      <w:kern w:val="0"/>
                      <w:szCs w:val="21"/>
                    </w:rPr>
                    <w:t>废物类别</w:t>
                  </w:r>
                  <w:r>
                    <w:rPr>
                      <w:rFonts w:hint="eastAsia"/>
                      <w:b/>
                      <w:bCs/>
                      <w:color w:val="auto"/>
                      <w:kern w:val="0"/>
                      <w:szCs w:val="21"/>
                      <w:lang w:val="en-US" w:eastAsia="zh-CN"/>
                    </w:rPr>
                    <w:t>/种类</w:t>
                  </w:r>
                </w:p>
              </w:tc>
              <w:tc>
                <w:tcPr>
                  <w:tcW w:w="0" w:type="auto"/>
                  <w:noWrap/>
                  <w:vAlign w:val="center"/>
                </w:tcPr>
                <w:p>
                  <w:pPr>
                    <w:topLinePunct/>
                    <w:adjustRightInd w:val="0"/>
                    <w:snapToGrid w:val="0"/>
                    <w:jc w:val="center"/>
                    <w:rPr>
                      <w:b/>
                      <w:bCs/>
                      <w:color w:val="auto"/>
                      <w:kern w:val="0"/>
                      <w:szCs w:val="21"/>
                    </w:rPr>
                  </w:pPr>
                  <w:r>
                    <w:rPr>
                      <w:b/>
                      <w:bCs/>
                      <w:color w:val="auto"/>
                      <w:kern w:val="0"/>
                      <w:szCs w:val="21"/>
                    </w:rPr>
                    <w:t>废物代码</w:t>
                  </w:r>
                </w:p>
              </w:tc>
              <w:tc>
                <w:tcPr>
                  <w:tcW w:w="0" w:type="auto"/>
                  <w:noWrap/>
                  <w:vAlign w:val="center"/>
                </w:tcPr>
                <w:p>
                  <w:pPr>
                    <w:topLinePunct/>
                    <w:adjustRightInd w:val="0"/>
                    <w:snapToGrid w:val="0"/>
                    <w:jc w:val="center"/>
                    <w:rPr>
                      <w:b/>
                      <w:bCs/>
                      <w:color w:val="auto"/>
                      <w:kern w:val="0"/>
                      <w:szCs w:val="21"/>
                    </w:rPr>
                  </w:pPr>
                  <w:r>
                    <w:rPr>
                      <w:b/>
                      <w:bCs/>
                      <w:color w:val="auto"/>
                      <w:kern w:val="0"/>
                      <w:szCs w:val="21"/>
                    </w:rPr>
                    <w:t>产生量（t/a）</w:t>
                  </w:r>
                </w:p>
              </w:tc>
              <w:tc>
                <w:tcPr>
                  <w:tcW w:w="0" w:type="auto"/>
                  <w:noWrap/>
                  <w:vAlign w:val="center"/>
                </w:tcPr>
                <w:p>
                  <w:pPr>
                    <w:topLinePunct/>
                    <w:adjustRightInd w:val="0"/>
                    <w:snapToGrid w:val="0"/>
                    <w:jc w:val="center"/>
                    <w:rPr>
                      <w:b/>
                      <w:bCs/>
                      <w:color w:val="auto"/>
                      <w:kern w:val="0"/>
                      <w:szCs w:val="21"/>
                    </w:rPr>
                  </w:pPr>
                  <w:r>
                    <w:rPr>
                      <w:b/>
                      <w:bCs/>
                      <w:color w:val="auto"/>
                      <w:kern w:val="0"/>
                      <w:szCs w:val="21"/>
                    </w:rPr>
                    <w:t>利用处置方式</w:t>
                  </w:r>
                </w:p>
              </w:tc>
              <w:tc>
                <w:tcPr>
                  <w:tcW w:w="0" w:type="auto"/>
                  <w:noWrap/>
                  <w:vAlign w:val="center"/>
                </w:tcPr>
                <w:p>
                  <w:pPr>
                    <w:topLinePunct/>
                    <w:adjustRightInd w:val="0"/>
                    <w:snapToGrid w:val="0"/>
                    <w:jc w:val="center"/>
                    <w:rPr>
                      <w:b/>
                      <w:bCs/>
                      <w:color w:val="auto"/>
                      <w:kern w:val="0"/>
                      <w:szCs w:val="21"/>
                    </w:rPr>
                  </w:pPr>
                  <w:r>
                    <w:rPr>
                      <w:b/>
                      <w:bCs/>
                      <w:color w:val="auto"/>
                      <w:kern w:val="0"/>
                      <w:szCs w:val="21"/>
                    </w:rPr>
                    <w:t>利用处置单位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ign w:val="center"/>
                </w:tcPr>
                <w:p>
                  <w:pPr>
                    <w:jc w:val="center"/>
                    <w:rPr>
                      <w:color w:val="auto"/>
                      <w:szCs w:val="21"/>
                    </w:rPr>
                  </w:pPr>
                  <w:r>
                    <w:rPr>
                      <w:color w:val="auto"/>
                      <w:szCs w:val="21"/>
                    </w:rPr>
                    <w:t>1</w:t>
                  </w:r>
                </w:p>
              </w:tc>
              <w:tc>
                <w:tcPr>
                  <w:tcW w:w="0" w:type="auto"/>
                  <w:noWrap/>
                  <w:vAlign w:val="center"/>
                </w:tcPr>
                <w:p>
                  <w:pPr>
                    <w:jc w:val="center"/>
                    <w:rPr>
                      <w:color w:val="auto"/>
                      <w:szCs w:val="21"/>
                    </w:rPr>
                  </w:pPr>
                  <w:r>
                    <w:rPr>
                      <w:color w:val="auto"/>
                      <w:szCs w:val="21"/>
                    </w:rPr>
                    <w:t>不合格品</w:t>
                  </w:r>
                </w:p>
              </w:tc>
              <w:tc>
                <w:tcPr>
                  <w:tcW w:w="0" w:type="auto"/>
                  <w:vMerge w:val="restart"/>
                  <w:noWrap/>
                  <w:vAlign w:val="center"/>
                </w:tcPr>
                <w:p>
                  <w:pPr>
                    <w:topLinePunct/>
                    <w:adjustRightInd w:val="0"/>
                    <w:snapToGrid w:val="0"/>
                    <w:jc w:val="center"/>
                    <w:rPr>
                      <w:color w:val="auto"/>
                      <w:kern w:val="0"/>
                      <w:szCs w:val="21"/>
                    </w:rPr>
                  </w:pPr>
                  <w:r>
                    <w:rPr>
                      <w:color w:val="auto"/>
                      <w:kern w:val="0"/>
                      <w:szCs w:val="21"/>
                    </w:rPr>
                    <w:t>一般固废</w:t>
                  </w:r>
                </w:p>
              </w:tc>
              <w:tc>
                <w:tcPr>
                  <w:tcW w:w="0" w:type="auto"/>
                  <w:noWrap/>
                  <w:vAlign w:val="center"/>
                </w:tcPr>
                <w:p>
                  <w:pPr>
                    <w:spacing w:line="240" w:lineRule="exact"/>
                    <w:jc w:val="center"/>
                    <w:rPr>
                      <w:color w:val="auto"/>
                      <w:kern w:val="0"/>
                      <w:szCs w:val="21"/>
                    </w:rPr>
                  </w:pPr>
                  <w:r>
                    <w:rPr>
                      <w:color w:val="auto"/>
                      <w:kern w:val="0"/>
                      <w:szCs w:val="21"/>
                    </w:rPr>
                    <w:t>/</w:t>
                  </w:r>
                </w:p>
              </w:tc>
              <w:tc>
                <w:tcPr>
                  <w:tcW w:w="0" w:type="auto"/>
                  <w:noWrap/>
                  <w:vAlign w:val="center"/>
                </w:tcPr>
                <w:p>
                  <w:pPr>
                    <w:spacing w:line="240" w:lineRule="exact"/>
                    <w:jc w:val="center"/>
                    <w:rPr>
                      <w:rFonts w:hint="default" w:eastAsia="宋体"/>
                      <w:color w:val="auto"/>
                      <w:kern w:val="0"/>
                      <w:szCs w:val="21"/>
                      <w:lang w:val="en-US" w:eastAsia="zh-CN"/>
                    </w:rPr>
                  </w:pPr>
                  <w:r>
                    <w:rPr>
                      <w:rFonts w:hint="eastAsia"/>
                      <w:color w:val="auto"/>
                      <w:kern w:val="0"/>
                      <w:szCs w:val="21"/>
                      <w:lang w:val="en-US" w:eastAsia="zh-CN"/>
                    </w:rPr>
                    <w:t>S59</w:t>
                  </w:r>
                </w:p>
              </w:tc>
              <w:tc>
                <w:tcPr>
                  <w:tcW w:w="0" w:type="auto"/>
                  <w:noWrap/>
                  <w:vAlign w:val="center"/>
                </w:tcPr>
                <w:p>
                  <w:pPr>
                    <w:jc w:val="center"/>
                    <w:rPr>
                      <w:rFonts w:hint="default"/>
                      <w:color w:val="auto"/>
                      <w:kern w:val="0"/>
                      <w:szCs w:val="21"/>
                      <w:lang w:val="en-US"/>
                    </w:rPr>
                  </w:pPr>
                  <w:r>
                    <w:rPr>
                      <w:color w:val="auto"/>
                      <w:kern w:val="0"/>
                      <w:szCs w:val="21"/>
                    </w:rPr>
                    <w:t>9</w:t>
                  </w:r>
                  <w:r>
                    <w:rPr>
                      <w:rFonts w:hint="eastAsia"/>
                      <w:color w:val="auto"/>
                      <w:kern w:val="0"/>
                      <w:szCs w:val="21"/>
                      <w:lang w:val="en-US" w:eastAsia="zh-CN"/>
                    </w:rPr>
                    <w:t>00-099-S59</w:t>
                  </w:r>
                </w:p>
              </w:tc>
              <w:tc>
                <w:tcPr>
                  <w:tcW w:w="0" w:type="auto"/>
                  <w:noWrap/>
                  <w:vAlign w:val="center"/>
                </w:tcPr>
                <w:p>
                  <w:pPr>
                    <w:jc w:val="center"/>
                    <w:rPr>
                      <w:color w:val="auto"/>
                      <w:szCs w:val="21"/>
                    </w:rPr>
                  </w:pPr>
                  <w:r>
                    <w:rPr>
                      <w:color w:val="auto"/>
                      <w:szCs w:val="21"/>
                    </w:rPr>
                    <w:t>20</w:t>
                  </w:r>
                </w:p>
              </w:tc>
              <w:tc>
                <w:tcPr>
                  <w:tcW w:w="0" w:type="auto"/>
                  <w:noWrap/>
                  <w:vAlign w:val="center"/>
                </w:tcPr>
                <w:p>
                  <w:pPr>
                    <w:spacing w:line="240" w:lineRule="exact"/>
                    <w:jc w:val="center"/>
                    <w:rPr>
                      <w:color w:val="auto"/>
                      <w:kern w:val="0"/>
                      <w:szCs w:val="21"/>
                    </w:rPr>
                  </w:pPr>
                  <w:r>
                    <w:rPr>
                      <w:color w:val="auto"/>
                      <w:kern w:val="0"/>
                      <w:szCs w:val="21"/>
                    </w:rPr>
                    <w:t>外售综合利用</w:t>
                  </w:r>
                </w:p>
              </w:tc>
              <w:tc>
                <w:tcPr>
                  <w:tcW w:w="0" w:type="auto"/>
                  <w:noWrap/>
                  <w:vAlign w:val="center"/>
                </w:tcPr>
                <w:p>
                  <w:pPr>
                    <w:topLinePunct/>
                    <w:adjustRightInd w:val="0"/>
                    <w:snapToGrid w:val="0"/>
                    <w:jc w:val="center"/>
                    <w:rPr>
                      <w:color w:val="auto"/>
                      <w:kern w:val="0"/>
                      <w:szCs w:val="21"/>
                    </w:rPr>
                  </w:pPr>
                  <w:r>
                    <w:rPr>
                      <w:color w:val="auto"/>
                      <w:kern w:val="0"/>
                      <w:szCs w:val="21"/>
                    </w:rPr>
                    <w:t>外售综合利用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noWrap/>
                  <w:vAlign w:val="center"/>
                </w:tcPr>
                <w:p>
                  <w:pPr>
                    <w:jc w:val="center"/>
                    <w:rPr>
                      <w:color w:val="auto"/>
                      <w:szCs w:val="21"/>
                    </w:rPr>
                  </w:pPr>
                  <w:r>
                    <w:rPr>
                      <w:color w:val="auto"/>
                      <w:szCs w:val="21"/>
                    </w:rPr>
                    <w:t>2</w:t>
                  </w:r>
                </w:p>
              </w:tc>
              <w:tc>
                <w:tcPr>
                  <w:tcW w:w="0" w:type="auto"/>
                  <w:noWrap/>
                  <w:vAlign w:val="center"/>
                </w:tcPr>
                <w:p>
                  <w:pPr>
                    <w:jc w:val="center"/>
                    <w:rPr>
                      <w:color w:val="auto"/>
                      <w:szCs w:val="21"/>
                    </w:rPr>
                  </w:pPr>
                  <w:r>
                    <w:rPr>
                      <w:color w:val="auto"/>
                      <w:szCs w:val="21"/>
                    </w:rPr>
                    <w:t>生活垃圾</w:t>
                  </w:r>
                </w:p>
              </w:tc>
              <w:tc>
                <w:tcPr>
                  <w:tcW w:w="0" w:type="auto"/>
                  <w:vMerge w:val="continue"/>
                  <w:noWrap/>
                  <w:vAlign w:val="center"/>
                </w:tcPr>
                <w:p>
                  <w:pPr>
                    <w:topLinePunct/>
                    <w:adjustRightInd w:val="0"/>
                    <w:snapToGrid w:val="0"/>
                    <w:jc w:val="center"/>
                    <w:rPr>
                      <w:color w:val="auto"/>
                      <w:kern w:val="0"/>
                      <w:szCs w:val="21"/>
                    </w:rPr>
                  </w:pPr>
                </w:p>
              </w:tc>
              <w:tc>
                <w:tcPr>
                  <w:tcW w:w="0" w:type="auto"/>
                  <w:noWrap/>
                  <w:vAlign w:val="center"/>
                </w:tcPr>
                <w:p>
                  <w:pPr>
                    <w:spacing w:line="240" w:lineRule="exact"/>
                    <w:jc w:val="center"/>
                    <w:rPr>
                      <w:color w:val="auto"/>
                      <w:kern w:val="0"/>
                      <w:szCs w:val="21"/>
                    </w:rPr>
                  </w:pPr>
                  <w:r>
                    <w:rPr>
                      <w:color w:val="auto"/>
                      <w:kern w:val="0"/>
                      <w:szCs w:val="21"/>
                    </w:rPr>
                    <w:t>/</w:t>
                  </w:r>
                </w:p>
              </w:tc>
              <w:tc>
                <w:tcPr>
                  <w:tcW w:w="0" w:type="auto"/>
                  <w:noWrap/>
                  <w:vAlign w:val="center"/>
                </w:tcPr>
                <w:p>
                  <w:pPr>
                    <w:spacing w:line="240" w:lineRule="exact"/>
                    <w:jc w:val="center"/>
                    <w:rPr>
                      <w:rFonts w:hint="default" w:eastAsia="宋体"/>
                      <w:color w:val="auto"/>
                      <w:kern w:val="0"/>
                      <w:szCs w:val="21"/>
                      <w:lang w:val="en-US" w:eastAsia="zh-CN"/>
                    </w:rPr>
                  </w:pPr>
                  <w:r>
                    <w:rPr>
                      <w:rFonts w:hint="eastAsia"/>
                      <w:color w:val="auto"/>
                      <w:kern w:val="0"/>
                      <w:szCs w:val="21"/>
                      <w:lang w:val="en-US" w:eastAsia="zh-CN"/>
                    </w:rPr>
                    <w:t>S64</w:t>
                  </w:r>
                </w:p>
              </w:tc>
              <w:tc>
                <w:tcPr>
                  <w:tcW w:w="0" w:type="auto"/>
                  <w:noWrap/>
                  <w:vAlign w:val="center"/>
                </w:tcPr>
                <w:p>
                  <w:pPr>
                    <w:spacing w:line="240" w:lineRule="exact"/>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900-099-S64</w:t>
                  </w:r>
                </w:p>
              </w:tc>
              <w:tc>
                <w:tcPr>
                  <w:tcW w:w="0" w:type="auto"/>
                  <w:noWrap/>
                  <w:vAlign w:val="center"/>
                </w:tcPr>
                <w:p>
                  <w:pPr>
                    <w:jc w:val="center"/>
                    <w:rPr>
                      <w:color w:val="auto"/>
                      <w:szCs w:val="21"/>
                    </w:rPr>
                  </w:pPr>
                  <w:r>
                    <w:rPr>
                      <w:color w:val="auto"/>
                      <w:szCs w:val="21"/>
                    </w:rPr>
                    <w:t>1.68</w:t>
                  </w:r>
                </w:p>
              </w:tc>
              <w:tc>
                <w:tcPr>
                  <w:tcW w:w="0" w:type="auto"/>
                  <w:noWrap/>
                  <w:vAlign w:val="center"/>
                </w:tcPr>
                <w:p>
                  <w:pPr>
                    <w:topLinePunct/>
                    <w:adjustRightInd w:val="0"/>
                    <w:snapToGrid w:val="0"/>
                    <w:jc w:val="center"/>
                    <w:rPr>
                      <w:b/>
                      <w:bCs/>
                      <w:color w:val="auto"/>
                      <w:kern w:val="0"/>
                      <w:szCs w:val="21"/>
                    </w:rPr>
                  </w:pPr>
                  <w:r>
                    <w:rPr>
                      <w:color w:val="auto"/>
                      <w:kern w:val="0"/>
                      <w:szCs w:val="21"/>
                    </w:rPr>
                    <w:t>环卫清运</w:t>
                  </w:r>
                </w:p>
              </w:tc>
              <w:tc>
                <w:tcPr>
                  <w:tcW w:w="0" w:type="auto"/>
                  <w:noWrap/>
                  <w:vAlign w:val="center"/>
                </w:tcPr>
                <w:p>
                  <w:pPr>
                    <w:topLinePunct/>
                    <w:adjustRightInd w:val="0"/>
                    <w:snapToGrid w:val="0"/>
                    <w:jc w:val="center"/>
                    <w:rPr>
                      <w:color w:val="auto"/>
                      <w:kern w:val="0"/>
                      <w:szCs w:val="21"/>
                    </w:rPr>
                  </w:pPr>
                  <w:r>
                    <w:rPr>
                      <w:color w:val="auto"/>
                      <w:kern w:val="0"/>
                      <w:szCs w:val="21"/>
                    </w:rPr>
                    <w:t>环卫所或保洁公司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ign w:val="center"/>
                </w:tcPr>
                <w:p>
                  <w:pPr>
                    <w:jc w:val="center"/>
                    <w:rPr>
                      <w:color w:val="auto"/>
                      <w:szCs w:val="21"/>
                    </w:rPr>
                  </w:pPr>
                  <w:r>
                    <w:rPr>
                      <w:color w:val="auto"/>
                      <w:szCs w:val="21"/>
                    </w:rPr>
                    <w:t>3</w:t>
                  </w:r>
                </w:p>
              </w:tc>
              <w:tc>
                <w:tcPr>
                  <w:tcW w:w="0" w:type="auto"/>
                  <w:noWrap/>
                  <w:vAlign w:val="center"/>
                </w:tcPr>
                <w:p>
                  <w:pPr>
                    <w:jc w:val="center"/>
                    <w:rPr>
                      <w:color w:val="auto"/>
                      <w:szCs w:val="21"/>
                    </w:rPr>
                  </w:pPr>
                  <w:r>
                    <w:rPr>
                      <w:color w:val="auto"/>
                      <w:szCs w:val="21"/>
                    </w:rPr>
                    <w:t>废包装桶</w:t>
                  </w:r>
                </w:p>
              </w:tc>
              <w:tc>
                <w:tcPr>
                  <w:tcW w:w="0" w:type="auto"/>
                  <w:vMerge w:val="restart"/>
                  <w:noWrap/>
                  <w:vAlign w:val="center"/>
                </w:tcPr>
                <w:p>
                  <w:pPr>
                    <w:topLinePunct/>
                    <w:adjustRightInd w:val="0"/>
                    <w:snapToGrid w:val="0"/>
                    <w:jc w:val="center"/>
                    <w:rPr>
                      <w:b/>
                      <w:bCs/>
                      <w:color w:val="auto"/>
                      <w:kern w:val="0"/>
                      <w:szCs w:val="21"/>
                    </w:rPr>
                  </w:pPr>
                  <w:r>
                    <w:rPr>
                      <w:color w:val="auto"/>
                      <w:kern w:val="0"/>
                      <w:szCs w:val="21"/>
                    </w:rPr>
                    <w:t>危险废物</w:t>
                  </w:r>
                </w:p>
              </w:tc>
              <w:tc>
                <w:tcPr>
                  <w:tcW w:w="0" w:type="auto"/>
                  <w:noWrap/>
                  <w:vAlign w:val="center"/>
                </w:tcPr>
                <w:p>
                  <w:pPr>
                    <w:spacing w:line="240" w:lineRule="exact"/>
                    <w:jc w:val="center"/>
                    <w:rPr>
                      <w:color w:val="auto"/>
                      <w:spacing w:val="-8"/>
                      <w:kern w:val="0"/>
                      <w:szCs w:val="21"/>
                    </w:rPr>
                  </w:pPr>
                  <w:r>
                    <w:rPr>
                      <w:color w:val="auto"/>
                      <w:spacing w:val="-8"/>
                      <w:kern w:val="0"/>
                      <w:szCs w:val="21"/>
                    </w:rPr>
                    <w:t>T/In</w:t>
                  </w:r>
                </w:p>
              </w:tc>
              <w:tc>
                <w:tcPr>
                  <w:tcW w:w="0" w:type="auto"/>
                  <w:noWrap/>
                  <w:vAlign w:val="center"/>
                </w:tcPr>
                <w:p>
                  <w:pPr>
                    <w:spacing w:line="240" w:lineRule="atLeast"/>
                    <w:jc w:val="center"/>
                    <w:rPr>
                      <w:color w:val="auto"/>
                    </w:rPr>
                  </w:pPr>
                  <w:r>
                    <w:rPr>
                      <w:color w:val="auto"/>
                      <w:szCs w:val="21"/>
                    </w:rPr>
                    <w:t>HW</w:t>
                  </w:r>
                  <w:r>
                    <w:rPr>
                      <w:rFonts w:hint="eastAsia"/>
                      <w:color w:val="auto"/>
                      <w:szCs w:val="21"/>
                    </w:rPr>
                    <w:t>08</w:t>
                  </w:r>
                </w:p>
              </w:tc>
              <w:tc>
                <w:tcPr>
                  <w:tcW w:w="0" w:type="auto"/>
                  <w:noWrap/>
                  <w:vAlign w:val="center"/>
                </w:tcPr>
                <w:p>
                  <w:pPr>
                    <w:spacing w:line="240" w:lineRule="atLeast"/>
                    <w:jc w:val="center"/>
                    <w:rPr>
                      <w:color w:val="auto"/>
                    </w:rPr>
                  </w:pPr>
                  <w:r>
                    <w:rPr>
                      <w:color w:val="auto"/>
                      <w:szCs w:val="21"/>
                    </w:rPr>
                    <w:t>900-</w:t>
                  </w:r>
                  <w:r>
                    <w:rPr>
                      <w:rFonts w:hint="eastAsia"/>
                      <w:color w:val="auto"/>
                      <w:szCs w:val="21"/>
                    </w:rPr>
                    <w:t>249</w:t>
                  </w:r>
                  <w:r>
                    <w:rPr>
                      <w:color w:val="auto"/>
                      <w:szCs w:val="21"/>
                    </w:rPr>
                    <w:t>-</w:t>
                  </w:r>
                  <w:r>
                    <w:rPr>
                      <w:rFonts w:hint="eastAsia"/>
                      <w:color w:val="auto"/>
                      <w:szCs w:val="21"/>
                    </w:rPr>
                    <w:t>08</w:t>
                  </w:r>
                </w:p>
              </w:tc>
              <w:tc>
                <w:tcPr>
                  <w:tcW w:w="0" w:type="auto"/>
                  <w:noWrap/>
                  <w:vAlign w:val="center"/>
                </w:tcPr>
                <w:p>
                  <w:pPr>
                    <w:jc w:val="center"/>
                    <w:rPr>
                      <w:color w:val="auto"/>
                      <w:szCs w:val="21"/>
                    </w:rPr>
                  </w:pPr>
                  <w:r>
                    <w:rPr>
                      <w:color w:val="auto"/>
                      <w:szCs w:val="21"/>
                    </w:rPr>
                    <w:t>0.5</w:t>
                  </w:r>
                </w:p>
              </w:tc>
              <w:tc>
                <w:tcPr>
                  <w:tcW w:w="0" w:type="auto"/>
                  <w:vMerge w:val="restart"/>
                  <w:noWrap/>
                  <w:vAlign w:val="center"/>
                </w:tcPr>
                <w:p>
                  <w:pPr>
                    <w:spacing w:line="240" w:lineRule="exact"/>
                    <w:jc w:val="center"/>
                    <w:rPr>
                      <w:color w:val="auto"/>
                      <w:kern w:val="0"/>
                      <w:szCs w:val="21"/>
                    </w:rPr>
                  </w:pPr>
                  <w:r>
                    <w:rPr>
                      <w:color w:val="auto"/>
                      <w:kern w:val="0"/>
                      <w:szCs w:val="21"/>
                    </w:rPr>
                    <w:t>委托资质单位处置</w:t>
                  </w:r>
                </w:p>
              </w:tc>
              <w:tc>
                <w:tcPr>
                  <w:tcW w:w="0" w:type="auto"/>
                  <w:vMerge w:val="restart"/>
                  <w:noWrap/>
                  <w:vAlign w:val="center"/>
                </w:tcPr>
                <w:p>
                  <w:pPr>
                    <w:topLinePunct/>
                    <w:adjustRightInd w:val="0"/>
                    <w:snapToGrid w:val="0"/>
                    <w:jc w:val="center"/>
                    <w:rPr>
                      <w:color w:val="auto"/>
                      <w:kern w:val="0"/>
                      <w:szCs w:val="21"/>
                    </w:rPr>
                  </w:pPr>
                  <w:r>
                    <w:rPr>
                      <w:color w:val="auto"/>
                      <w:kern w:val="0"/>
                      <w:szCs w:val="21"/>
                    </w:rPr>
                    <w:t>委托资质单位处置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ign w:val="center"/>
                </w:tcPr>
                <w:p>
                  <w:pPr>
                    <w:jc w:val="center"/>
                    <w:rPr>
                      <w:color w:val="auto"/>
                      <w:szCs w:val="21"/>
                    </w:rPr>
                  </w:pPr>
                  <w:r>
                    <w:rPr>
                      <w:color w:val="auto"/>
                      <w:szCs w:val="21"/>
                    </w:rPr>
                    <w:t>4</w:t>
                  </w:r>
                </w:p>
              </w:tc>
              <w:tc>
                <w:tcPr>
                  <w:tcW w:w="0" w:type="auto"/>
                  <w:noWrap/>
                  <w:vAlign w:val="center"/>
                </w:tcPr>
                <w:p>
                  <w:pPr>
                    <w:jc w:val="center"/>
                    <w:rPr>
                      <w:color w:val="auto"/>
                      <w:szCs w:val="21"/>
                    </w:rPr>
                  </w:pPr>
                  <w:r>
                    <w:rPr>
                      <w:color w:val="auto"/>
                      <w:szCs w:val="21"/>
                    </w:rPr>
                    <w:t>废包装瓶</w:t>
                  </w:r>
                </w:p>
              </w:tc>
              <w:tc>
                <w:tcPr>
                  <w:tcW w:w="0" w:type="auto"/>
                  <w:vMerge w:val="continue"/>
                  <w:noWrap/>
                  <w:vAlign w:val="center"/>
                </w:tcPr>
                <w:p>
                  <w:pPr>
                    <w:topLinePunct/>
                    <w:adjustRightInd w:val="0"/>
                    <w:snapToGrid w:val="0"/>
                    <w:jc w:val="center"/>
                    <w:rPr>
                      <w:b/>
                      <w:bCs/>
                      <w:color w:val="auto"/>
                      <w:kern w:val="0"/>
                      <w:szCs w:val="21"/>
                    </w:rPr>
                  </w:pPr>
                </w:p>
              </w:tc>
              <w:tc>
                <w:tcPr>
                  <w:tcW w:w="0" w:type="auto"/>
                  <w:noWrap/>
                  <w:vAlign w:val="center"/>
                </w:tcPr>
                <w:p>
                  <w:pPr>
                    <w:spacing w:line="240" w:lineRule="exact"/>
                    <w:jc w:val="center"/>
                    <w:rPr>
                      <w:color w:val="auto"/>
                      <w:spacing w:val="-8"/>
                      <w:kern w:val="0"/>
                      <w:szCs w:val="21"/>
                    </w:rPr>
                  </w:pPr>
                  <w:r>
                    <w:rPr>
                      <w:color w:val="auto"/>
                      <w:spacing w:val="-8"/>
                      <w:kern w:val="0"/>
                      <w:szCs w:val="21"/>
                    </w:rPr>
                    <w:t>T/In</w:t>
                  </w:r>
                </w:p>
              </w:tc>
              <w:tc>
                <w:tcPr>
                  <w:tcW w:w="0" w:type="auto"/>
                  <w:noWrap/>
                  <w:vAlign w:val="center"/>
                </w:tcPr>
                <w:p>
                  <w:pPr>
                    <w:spacing w:line="240" w:lineRule="atLeast"/>
                    <w:jc w:val="center"/>
                    <w:rPr>
                      <w:color w:val="auto"/>
                    </w:rPr>
                  </w:pPr>
                  <w:r>
                    <w:rPr>
                      <w:color w:val="auto"/>
                      <w:szCs w:val="21"/>
                    </w:rPr>
                    <w:t>HW49</w:t>
                  </w:r>
                </w:p>
              </w:tc>
              <w:tc>
                <w:tcPr>
                  <w:tcW w:w="0" w:type="auto"/>
                  <w:noWrap/>
                  <w:vAlign w:val="center"/>
                </w:tcPr>
                <w:p>
                  <w:pPr>
                    <w:spacing w:line="240" w:lineRule="atLeast"/>
                    <w:jc w:val="center"/>
                    <w:rPr>
                      <w:color w:val="auto"/>
                    </w:rPr>
                  </w:pPr>
                  <w:r>
                    <w:rPr>
                      <w:color w:val="auto"/>
                      <w:szCs w:val="21"/>
                    </w:rPr>
                    <w:t>900-041-49</w:t>
                  </w:r>
                </w:p>
              </w:tc>
              <w:tc>
                <w:tcPr>
                  <w:tcW w:w="0" w:type="auto"/>
                  <w:noWrap/>
                  <w:vAlign w:val="center"/>
                </w:tcPr>
                <w:p>
                  <w:pPr>
                    <w:jc w:val="center"/>
                    <w:rPr>
                      <w:color w:val="auto"/>
                      <w:szCs w:val="21"/>
                    </w:rPr>
                  </w:pPr>
                  <w:r>
                    <w:rPr>
                      <w:color w:val="auto"/>
                      <w:szCs w:val="21"/>
                    </w:rPr>
                    <w:t>0.1</w:t>
                  </w:r>
                </w:p>
              </w:tc>
              <w:tc>
                <w:tcPr>
                  <w:tcW w:w="0" w:type="auto"/>
                  <w:vMerge w:val="continue"/>
                  <w:noWrap/>
                  <w:vAlign w:val="center"/>
                </w:tcPr>
                <w:p>
                  <w:pPr>
                    <w:spacing w:line="240" w:lineRule="exact"/>
                    <w:jc w:val="center"/>
                    <w:rPr>
                      <w:color w:val="auto"/>
                      <w:kern w:val="0"/>
                      <w:szCs w:val="21"/>
                    </w:rPr>
                  </w:pPr>
                </w:p>
              </w:tc>
              <w:tc>
                <w:tcPr>
                  <w:tcW w:w="0" w:type="auto"/>
                  <w:vMerge w:val="continue"/>
                  <w:noWrap/>
                  <w:vAlign w:val="center"/>
                </w:tcPr>
                <w:p>
                  <w:pPr>
                    <w:topLinePunct/>
                    <w:adjustRightInd w:val="0"/>
                    <w:snapToGrid w:val="0"/>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0" w:type="auto"/>
                  <w:noWrap/>
                  <w:vAlign w:val="center"/>
                </w:tcPr>
                <w:p>
                  <w:pPr>
                    <w:jc w:val="center"/>
                    <w:rPr>
                      <w:color w:val="auto"/>
                      <w:szCs w:val="21"/>
                    </w:rPr>
                  </w:pPr>
                  <w:r>
                    <w:rPr>
                      <w:color w:val="auto"/>
                      <w:szCs w:val="21"/>
                    </w:rPr>
                    <w:t>5</w:t>
                  </w:r>
                </w:p>
              </w:tc>
              <w:tc>
                <w:tcPr>
                  <w:tcW w:w="0" w:type="auto"/>
                  <w:noWrap/>
                  <w:vAlign w:val="center"/>
                </w:tcPr>
                <w:p>
                  <w:pPr>
                    <w:jc w:val="center"/>
                    <w:rPr>
                      <w:color w:val="auto"/>
                      <w:szCs w:val="21"/>
                    </w:rPr>
                  </w:pPr>
                  <w:r>
                    <w:rPr>
                      <w:color w:val="auto"/>
                      <w:szCs w:val="21"/>
                    </w:rPr>
                    <w:t>废抹布</w:t>
                  </w:r>
                </w:p>
              </w:tc>
              <w:tc>
                <w:tcPr>
                  <w:tcW w:w="0" w:type="auto"/>
                  <w:vMerge w:val="continue"/>
                  <w:noWrap/>
                  <w:vAlign w:val="center"/>
                </w:tcPr>
                <w:p>
                  <w:pPr>
                    <w:topLinePunct/>
                    <w:adjustRightInd w:val="0"/>
                    <w:snapToGrid w:val="0"/>
                    <w:jc w:val="center"/>
                    <w:rPr>
                      <w:b/>
                      <w:bCs/>
                      <w:color w:val="auto"/>
                      <w:kern w:val="0"/>
                      <w:szCs w:val="21"/>
                    </w:rPr>
                  </w:pPr>
                </w:p>
              </w:tc>
              <w:tc>
                <w:tcPr>
                  <w:tcW w:w="0" w:type="auto"/>
                  <w:noWrap/>
                  <w:vAlign w:val="center"/>
                </w:tcPr>
                <w:p>
                  <w:pPr>
                    <w:spacing w:line="240" w:lineRule="exact"/>
                    <w:jc w:val="center"/>
                    <w:rPr>
                      <w:color w:val="auto"/>
                      <w:spacing w:val="-8"/>
                      <w:kern w:val="0"/>
                      <w:szCs w:val="21"/>
                    </w:rPr>
                  </w:pPr>
                  <w:r>
                    <w:rPr>
                      <w:color w:val="auto"/>
                      <w:spacing w:val="-8"/>
                      <w:kern w:val="0"/>
                      <w:szCs w:val="21"/>
                    </w:rPr>
                    <w:t>T/In</w:t>
                  </w:r>
                </w:p>
              </w:tc>
              <w:tc>
                <w:tcPr>
                  <w:tcW w:w="0" w:type="auto"/>
                  <w:noWrap/>
                  <w:vAlign w:val="center"/>
                </w:tcPr>
                <w:p>
                  <w:pPr>
                    <w:spacing w:line="240" w:lineRule="atLeast"/>
                    <w:jc w:val="center"/>
                    <w:rPr>
                      <w:color w:val="auto"/>
                    </w:rPr>
                  </w:pPr>
                  <w:r>
                    <w:rPr>
                      <w:color w:val="auto"/>
                      <w:szCs w:val="21"/>
                    </w:rPr>
                    <w:t>HW49</w:t>
                  </w:r>
                </w:p>
              </w:tc>
              <w:tc>
                <w:tcPr>
                  <w:tcW w:w="0" w:type="auto"/>
                  <w:noWrap/>
                  <w:vAlign w:val="center"/>
                </w:tcPr>
                <w:p>
                  <w:pPr>
                    <w:spacing w:line="240" w:lineRule="atLeast"/>
                    <w:jc w:val="center"/>
                    <w:rPr>
                      <w:color w:val="auto"/>
                    </w:rPr>
                  </w:pPr>
                  <w:r>
                    <w:rPr>
                      <w:color w:val="auto"/>
                      <w:szCs w:val="21"/>
                    </w:rPr>
                    <w:t>900-041-49</w:t>
                  </w:r>
                </w:p>
              </w:tc>
              <w:tc>
                <w:tcPr>
                  <w:tcW w:w="0" w:type="auto"/>
                  <w:noWrap/>
                  <w:vAlign w:val="center"/>
                </w:tcPr>
                <w:p>
                  <w:pPr>
                    <w:jc w:val="center"/>
                    <w:rPr>
                      <w:color w:val="auto"/>
                      <w:szCs w:val="21"/>
                    </w:rPr>
                  </w:pPr>
                  <w:r>
                    <w:rPr>
                      <w:color w:val="auto"/>
                      <w:szCs w:val="21"/>
                    </w:rPr>
                    <w:t>0.1</w:t>
                  </w:r>
                </w:p>
              </w:tc>
              <w:tc>
                <w:tcPr>
                  <w:tcW w:w="0" w:type="auto"/>
                  <w:vMerge w:val="continue"/>
                  <w:noWrap/>
                  <w:vAlign w:val="center"/>
                </w:tcPr>
                <w:p>
                  <w:pPr>
                    <w:spacing w:line="240" w:lineRule="exact"/>
                    <w:jc w:val="center"/>
                    <w:rPr>
                      <w:color w:val="auto"/>
                      <w:kern w:val="0"/>
                      <w:szCs w:val="21"/>
                    </w:rPr>
                  </w:pPr>
                </w:p>
              </w:tc>
              <w:tc>
                <w:tcPr>
                  <w:tcW w:w="0" w:type="auto"/>
                  <w:vMerge w:val="continue"/>
                  <w:noWrap/>
                  <w:vAlign w:val="center"/>
                </w:tcPr>
                <w:p>
                  <w:pPr>
                    <w:topLinePunct/>
                    <w:adjustRightInd w:val="0"/>
                    <w:snapToGrid w:val="0"/>
                    <w:jc w:val="center"/>
                    <w:rPr>
                      <w:color w:val="auto"/>
                      <w:kern w:val="0"/>
                      <w:szCs w:val="21"/>
                    </w:rPr>
                  </w:pPr>
                </w:p>
              </w:tc>
            </w:tr>
          </w:tbl>
          <w:p>
            <w:pPr>
              <w:widowControl/>
              <w:adjustRightInd w:val="0"/>
              <w:snapToGrid w:val="0"/>
              <w:jc w:val="center"/>
              <w:rPr>
                <w:b/>
                <w:bCs/>
                <w:color w:val="auto"/>
                <w:szCs w:val="21"/>
              </w:rPr>
            </w:pPr>
            <w:r>
              <w:rPr>
                <w:b/>
                <w:bCs/>
                <w:color w:val="auto"/>
                <w:szCs w:val="21"/>
              </w:rPr>
              <w:t>表4-5本项目扩建后全厂危险固体废物分析结果汇总表</w:t>
            </w:r>
          </w:p>
          <w:tbl>
            <w:tblPr>
              <w:tblStyle w:val="19"/>
              <w:tblW w:w="0" w:type="auto"/>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772"/>
              <w:gridCol w:w="598"/>
              <w:gridCol w:w="685"/>
              <w:gridCol w:w="687"/>
              <w:gridCol w:w="755"/>
              <w:gridCol w:w="1386"/>
              <w:gridCol w:w="1387"/>
              <w:gridCol w:w="687"/>
              <w:gridCol w:w="862"/>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515" w:type="dxa"/>
                  <w:tcBorders>
                    <w:tl2br w:val="nil"/>
                    <w:tr2bl w:val="nil"/>
                  </w:tcBorders>
                  <w:noWrap/>
                  <w:vAlign w:val="center"/>
                </w:tcPr>
                <w:p>
                  <w:pPr>
                    <w:topLinePunct/>
                    <w:adjustRightInd w:val="0"/>
                    <w:snapToGrid w:val="0"/>
                    <w:spacing w:line="240" w:lineRule="exact"/>
                    <w:jc w:val="center"/>
                    <w:rPr>
                      <w:b/>
                      <w:bCs/>
                      <w:color w:val="auto"/>
                      <w:szCs w:val="21"/>
                    </w:rPr>
                  </w:pPr>
                  <w:r>
                    <w:rPr>
                      <w:b/>
                      <w:bCs/>
                      <w:color w:val="auto"/>
                      <w:kern w:val="0"/>
                      <w:szCs w:val="21"/>
                    </w:rPr>
                    <w:t>序号</w:t>
                  </w:r>
                </w:p>
              </w:tc>
              <w:tc>
                <w:tcPr>
                  <w:tcW w:w="782" w:type="dxa"/>
                  <w:tcBorders>
                    <w:tl2br w:val="nil"/>
                    <w:tr2bl w:val="nil"/>
                  </w:tcBorders>
                  <w:noWrap/>
                  <w:vAlign w:val="center"/>
                </w:tcPr>
                <w:p>
                  <w:pPr>
                    <w:topLinePunct/>
                    <w:adjustRightInd w:val="0"/>
                    <w:snapToGrid w:val="0"/>
                    <w:spacing w:line="240" w:lineRule="exact"/>
                    <w:jc w:val="center"/>
                    <w:rPr>
                      <w:b/>
                      <w:bCs/>
                      <w:color w:val="auto"/>
                      <w:kern w:val="0"/>
                      <w:szCs w:val="21"/>
                    </w:rPr>
                  </w:pPr>
                  <w:r>
                    <w:rPr>
                      <w:b/>
                      <w:bCs/>
                      <w:color w:val="auto"/>
                      <w:kern w:val="0"/>
                      <w:szCs w:val="21"/>
                    </w:rPr>
                    <w:t>固废</w:t>
                  </w:r>
                </w:p>
                <w:p>
                  <w:pPr>
                    <w:topLinePunct/>
                    <w:adjustRightInd w:val="0"/>
                    <w:snapToGrid w:val="0"/>
                    <w:spacing w:line="240" w:lineRule="exact"/>
                    <w:jc w:val="center"/>
                    <w:rPr>
                      <w:b/>
                      <w:bCs/>
                      <w:color w:val="auto"/>
                      <w:szCs w:val="21"/>
                    </w:rPr>
                  </w:pPr>
                  <w:r>
                    <w:rPr>
                      <w:b/>
                      <w:bCs/>
                      <w:color w:val="auto"/>
                      <w:kern w:val="0"/>
                      <w:szCs w:val="21"/>
                    </w:rPr>
                    <w:t>名称</w:t>
                  </w:r>
                </w:p>
              </w:tc>
              <w:tc>
                <w:tcPr>
                  <w:tcW w:w="605" w:type="dxa"/>
                  <w:tcBorders>
                    <w:tl2br w:val="nil"/>
                    <w:tr2bl w:val="nil"/>
                  </w:tcBorders>
                  <w:noWrap/>
                  <w:vAlign w:val="center"/>
                </w:tcPr>
                <w:p>
                  <w:pPr>
                    <w:topLinePunct/>
                    <w:adjustRightInd w:val="0"/>
                    <w:snapToGrid w:val="0"/>
                    <w:spacing w:line="240" w:lineRule="exact"/>
                    <w:jc w:val="center"/>
                    <w:rPr>
                      <w:b/>
                      <w:bCs/>
                      <w:color w:val="auto"/>
                      <w:kern w:val="0"/>
                      <w:szCs w:val="21"/>
                    </w:rPr>
                  </w:pPr>
                  <w:r>
                    <w:rPr>
                      <w:b/>
                      <w:bCs/>
                      <w:color w:val="auto"/>
                      <w:kern w:val="0"/>
                      <w:szCs w:val="21"/>
                    </w:rPr>
                    <w:t>属性</w:t>
                  </w:r>
                </w:p>
              </w:tc>
              <w:tc>
                <w:tcPr>
                  <w:tcW w:w="693" w:type="dxa"/>
                  <w:tcBorders>
                    <w:tl2br w:val="nil"/>
                    <w:tr2bl w:val="nil"/>
                  </w:tcBorders>
                  <w:noWrap/>
                  <w:vAlign w:val="center"/>
                </w:tcPr>
                <w:p>
                  <w:pPr>
                    <w:spacing w:line="240" w:lineRule="exact"/>
                    <w:jc w:val="center"/>
                    <w:rPr>
                      <w:b/>
                      <w:bCs/>
                      <w:color w:val="auto"/>
                      <w:kern w:val="0"/>
                      <w:szCs w:val="21"/>
                    </w:rPr>
                  </w:pPr>
                  <w:r>
                    <w:rPr>
                      <w:b/>
                      <w:bCs/>
                      <w:color w:val="auto"/>
                      <w:kern w:val="0"/>
                      <w:szCs w:val="21"/>
                    </w:rPr>
                    <w:t>产生</w:t>
                  </w:r>
                </w:p>
                <w:p>
                  <w:pPr>
                    <w:spacing w:line="240" w:lineRule="exact"/>
                    <w:jc w:val="center"/>
                    <w:rPr>
                      <w:b/>
                      <w:bCs/>
                      <w:color w:val="auto"/>
                      <w:szCs w:val="21"/>
                    </w:rPr>
                  </w:pPr>
                  <w:r>
                    <w:rPr>
                      <w:b/>
                      <w:bCs/>
                      <w:color w:val="auto"/>
                      <w:kern w:val="0"/>
                      <w:szCs w:val="21"/>
                    </w:rPr>
                    <w:t>工序</w:t>
                  </w:r>
                </w:p>
              </w:tc>
              <w:tc>
                <w:tcPr>
                  <w:tcW w:w="695" w:type="dxa"/>
                  <w:tcBorders>
                    <w:tl2br w:val="nil"/>
                    <w:tr2bl w:val="nil"/>
                  </w:tcBorders>
                  <w:noWrap/>
                  <w:vAlign w:val="center"/>
                </w:tcPr>
                <w:p>
                  <w:pPr>
                    <w:topLinePunct/>
                    <w:adjustRightInd w:val="0"/>
                    <w:snapToGrid w:val="0"/>
                    <w:spacing w:line="240" w:lineRule="exact"/>
                    <w:jc w:val="center"/>
                    <w:rPr>
                      <w:b/>
                      <w:bCs/>
                      <w:color w:val="auto"/>
                      <w:szCs w:val="21"/>
                    </w:rPr>
                  </w:pPr>
                  <w:r>
                    <w:rPr>
                      <w:b/>
                      <w:bCs/>
                      <w:color w:val="auto"/>
                      <w:kern w:val="0"/>
                      <w:szCs w:val="21"/>
                    </w:rPr>
                    <w:t>主要成分</w:t>
                  </w:r>
                </w:p>
              </w:tc>
              <w:tc>
                <w:tcPr>
                  <w:tcW w:w="764" w:type="dxa"/>
                  <w:tcBorders>
                    <w:tl2br w:val="nil"/>
                    <w:tr2bl w:val="nil"/>
                  </w:tcBorders>
                  <w:noWrap/>
                  <w:vAlign w:val="center"/>
                </w:tcPr>
                <w:p>
                  <w:pPr>
                    <w:spacing w:line="240" w:lineRule="exact"/>
                    <w:jc w:val="center"/>
                    <w:rPr>
                      <w:b/>
                      <w:bCs/>
                      <w:color w:val="auto"/>
                      <w:szCs w:val="21"/>
                    </w:rPr>
                  </w:pPr>
                  <w:r>
                    <w:rPr>
                      <w:b/>
                      <w:bCs/>
                      <w:color w:val="auto"/>
                      <w:kern w:val="0"/>
                      <w:szCs w:val="21"/>
                    </w:rPr>
                    <w:t>危险特性</w:t>
                  </w:r>
                </w:p>
              </w:tc>
              <w:tc>
                <w:tcPr>
                  <w:tcW w:w="1406" w:type="dxa"/>
                  <w:tcBorders>
                    <w:tl2br w:val="nil"/>
                    <w:tr2bl w:val="nil"/>
                  </w:tcBorders>
                  <w:noWrap/>
                  <w:vAlign w:val="center"/>
                </w:tcPr>
                <w:p>
                  <w:pPr>
                    <w:spacing w:line="240" w:lineRule="exact"/>
                    <w:jc w:val="center"/>
                    <w:rPr>
                      <w:b/>
                      <w:bCs/>
                      <w:color w:val="auto"/>
                      <w:kern w:val="0"/>
                      <w:szCs w:val="21"/>
                    </w:rPr>
                  </w:pPr>
                  <w:r>
                    <w:rPr>
                      <w:b/>
                      <w:bCs/>
                      <w:color w:val="auto"/>
                      <w:kern w:val="0"/>
                      <w:szCs w:val="21"/>
                    </w:rPr>
                    <w:t>废物类别及代码</w:t>
                  </w:r>
                </w:p>
              </w:tc>
              <w:tc>
                <w:tcPr>
                  <w:tcW w:w="1407" w:type="dxa"/>
                  <w:tcBorders>
                    <w:tl2br w:val="nil"/>
                    <w:tr2bl w:val="nil"/>
                  </w:tcBorders>
                  <w:noWrap/>
                  <w:vAlign w:val="center"/>
                </w:tcPr>
                <w:p>
                  <w:pPr>
                    <w:spacing w:line="240" w:lineRule="exact"/>
                    <w:jc w:val="center"/>
                    <w:rPr>
                      <w:b/>
                      <w:bCs/>
                      <w:color w:val="auto"/>
                      <w:szCs w:val="21"/>
                    </w:rPr>
                  </w:pPr>
                  <w:r>
                    <w:rPr>
                      <w:b/>
                      <w:bCs/>
                      <w:color w:val="auto"/>
                      <w:kern w:val="0"/>
                      <w:szCs w:val="21"/>
                    </w:rPr>
                    <w:t>估算年产生量（t/a）</w:t>
                  </w:r>
                </w:p>
              </w:tc>
              <w:tc>
                <w:tcPr>
                  <w:tcW w:w="695" w:type="dxa"/>
                  <w:tcBorders>
                    <w:tl2br w:val="nil"/>
                    <w:tr2bl w:val="nil"/>
                  </w:tcBorders>
                  <w:noWrap/>
                  <w:vAlign w:val="center"/>
                </w:tcPr>
                <w:p>
                  <w:pPr>
                    <w:spacing w:line="240" w:lineRule="exact"/>
                    <w:jc w:val="center"/>
                    <w:rPr>
                      <w:b/>
                      <w:bCs/>
                      <w:color w:val="auto"/>
                      <w:kern w:val="0"/>
                      <w:szCs w:val="21"/>
                    </w:rPr>
                  </w:pPr>
                  <w:r>
                    <w:rPr>
                      <w:b/>
                      <w:bCs/>
                      <w:color w:val="auto"/>
                      <w:kern w:val="0"/>
                      <w:szCs w:val="21"/>
                    </w:rPr>
                    <w:t>产生周期</w:t>
                  </w:r>
                </w:p>
              </w:tc>
              <w:tc>
                <w:tcPr>
                  <w:tcW w:w="873" w:type="dxa"/>
                  <w:tcBorders>
                    <w:tl2br w:val="nil"/>
                    <w:tr2bl w:val="nil"/>
                  </w:tcBorders>
                  <w:noWrap/>
                  <w:vAlign w:val="center"/>
                </w:tcPr>
                <w:p>
                  <w:pPr>
                    <w:spacing w:line="240" w:lineRule="exact"/>
                    <w:jc w:val="center"/>
                    <w:rPr>
                      <w:b/>
                      <w:bCs/>
                      <w:color w:val="auto"/>
                      <w:kern w:val="0"/>
                      <w:szCs w:val="21"/>
                    </w:rPr>
                  </w:pPr>
                  <w:r>
                    <w:rPr>
                      <w:b/>
                      <w:bCs/>
                      <w:color w:val="auto"/>
                      <w:kern w:val="0"/>
                      <w:szCs w:val="21"/>
                    </w:rPr>
                    <w:t>污染防治措施</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15" w:type="dxa"/>
                  <w:noWrap/>
                  <w:vAlign w:val="center"/>
                </w:tcPr>
                <w:p>
                  <w:pPr>
                    <w:spacing w:line="240" w:lineRule="exact"/>
                    <w:jc w:val="center"/>
                    <w:rPr>
                      <w:color w:val="auto"/>
                      <w:szCs w:val="21"/>
                    </w:rPr>
                  </w:pPr>
                  <w:r>
                    <w:rPr>
                      <w:color w:val="auto"/>
                      <w:szCs w:val="21"/>
                    </w:rPr>
                    <w:t>1</w:t>
                  </w:r>
                </w:p>
              </w:tc>
              <w:tc>
                <w:tcPr>
                  <w:tcW w:w="782" w:type="dxa"/>
                  <w:noWrap/>
                  <w:vAlign w:val="center"/>
                </w:tcPr>
                <w:p>
                  <w:pPr>
                    <w:jc w:val="center"/>
                    <w:rPr>
                      <w:color w:val="auto"/>
                      <w:szCs w:val="21"/>
                    </w:rPr>
                  </w:pPr>
                  <w:r>
                    <w:rPr>
                      <w:color w:val="auto"/>
                      <w:szCs w:val="21"/>
                    </w:rPr>
                    <w:t>废包装桶</w:t>
                  </w:r>
                </w:p>
              </w:tc>
              <w:tc>
                <w:tcPr>
                  <w:tcW w:w="605" w:type="dxa"/>
                  <w:noWrap/>
                  <w:vAlign w:val="center"/>
                </w:tcPr>
                <w:p>
                  <w:pPr>
                    <w:jc w:val="center"/>
                    <w:rPr>
                      <w:color w:val="auto"/>
                      <w:szCs w:val="21"/>
                    </w:rPr>
                  </w:pPr>
                  <w:r>
                    <w:rPr>
                      <w:color w:val="auto"/>
                      <w:szCs w:val="21"/>
                    </w:rPr>
                    <w:t>固态</w:t>
                  </w:r>
                </w:p>
              </w:tc>
              <w:tc>
                <w:tcPr>
                  <w:tcW w:w="693" w:type="dxa"/>
                  <w:noWrap/>
                  <w:vAlign w:val="center"/>
                </w:tcPr>
                <w:p>
                  <w:pPr>
                    <w:jc w:val="center"/>
                    <w:rPr>
                      <w:color w:val="auto"/>
                      <w:szCs w:val="21"/>
                    </w:rPr>
                  </w:pPr>
                  <w:r>
                    <w:rPr>
                      <w:color w:val="auto"/>
                      <w:szCs w:val="21"/>
                    </w:rPr>
                    <w:t>原料包装</w:t>
                  </w:r>
                </w:p>
              </w:tc>
              <w:tc>
                <w:tcPr>
                  <w:tcW w:w="695" w:type="dxa"/>
                  <w:noWrap/>
                  <w:vAlign w:val="center"/>
                </w:tcPr>
                <w:p>
                  <w:pPr>
                    <w:jc w:val="center"/>
                    <w:rPr>
                      <w:color w:val="auto"/>
                    </w:rPr>
                  </w:pPr>
                  <w:r>
                    <w:rPr>
                      <w:color w:val="auto"/>
                      <w:szCs w:val="21"/>
                    </w:rPr>
                    <w:t>包装桶</w:t>
                  </w:r>
                </w:p>
              </w:tc>
              <w:tc>
                <w:tcPr>
                  <w:tcW w:w="764" w:type="dxa"/>
                  <w:noWrap/>
                  <w:vAlign w:val="center"/>
                </w:tcPr>
                <w:p>
                  <w:pPr>
                    <w:spacing w:line="240" w:lineRule="exact"/>
                    <w:jc w:val="center"/>
                    <w:rPr>
                      <w:color w:val="auto"/>
                      <w:spacing w:val="-8"/>
                      <w:kern w:val="0"/>
                      <w:szCs w:val="21"/>
                    </w:rPr>
                  </w:pPr>
                  <w:r>
                    <w:rPr>
                      <w:color w:val="auto"/>
                      <w:spacing w:val="-8"/>
                      <w:kern w:val="0"/>
                      <w:szCs w:val="21"/>
                    </w:rPr>
                    <w:t>T</w:t>
                  </w:r>
                  <w:r>
                    <w:rPr>
                      <w:rFonts w:hint="eastAsia"/>
                      <w:color w:val="auto"/>
                      <w:spacing w:val="-8"/>
                      <w:kern w:val="0"/>
                      <w:szCs w:val="21"/>
                    </w:rPr>
                    <w:t>，I</w:t>
                  </w:r>
                </w:p>
              </w:tc>
              <w:tc>
                <w:tcPr>
                  <w:tcW w:w="1406" w:type="dxa"/>
                  <w:noWrap/>
                  <w:vAlign w:val="center"/>
                </w:tcPr>
                <w:p>
                  <w:pPr>
                    <w:spacing w:line="240" w:lineRule="atLeast"/>
                    <w:jc w:val="center"/>
                    <w:rPr>
                      <w:color w:val="auto"/>
                      <w:szCs w:val="21"/>
                    </w:rPr>
                  </w:pPr>
                  <w:r>
                    <w:rPr>
                      <w:color w:val="auto"/>
                      <w:szCs w:val="21"/>
                    </w:rPr>
                    <w:t>HW08</w:t>
                  </w:r>
                </w:p>
                <w:p>
                  <w:pPr>
                    <w:spacing w:line="240" w:lineRule="atLeast"/>
                    <w:jc w:val="center"/>
                    <w:rPr>
                      <w:color w:val="auto"/>
                    </w:rPr>
                  </w:pPr>
                  <w:r>
                    <w:rPr>
                      <w:color w:val="auto"/>
                      <w:szCs w:val="21"/>
                    </w:rPr>
                    <w:t>900-249-08</w:t>
                  </w:r>
                </w:p>
              </w:tc>
              <w:tc>
                <w:tcPr>
                  <w:tcW w:w="1407" w:type="dxa"/>
                  <w:noWrap/>
                  <w:vAlign w:val="center"/>
                </w:tcPr>
                <w:p>
                  <w:pPr>
                    <w:jc w:val="center"/>
                    <w:rPr>
                      <w:color w:val="auto"/>
                      <w:szCs w:val="21"/>
                      <w:highlight w:val="yellow"/>
                    </w:rPr>
                  </w:pPr>
                  <w:r>
                    <w:rPr>
                      <w:color w:val="auto"/>
                      <w:szCs w:val="21"/>
                    </w:rPr>
                    <w:t>0.5</w:t>
                  </w:r>
                </w:p>
              </w:tc>
              <w:tc>
                <w:tcPr>
                  <w:tcW w:w="695" w:type="dxa"/>
                  <w:noWrap/>
                  <w:vAlign w:val="center"/>
                </w:tcPr>
                <w:p>
                  <w:pPr>
                    <w:jc w:val="center"/>
                    <w:rPr>
                      <w:color w:val="auto"/>
                      <w:szCs w:val="21"/>
                    </w:rPr>
                  </w:pPr>
                  <w:r>
                    <w:rPr>
                      <w:color w:val="auto"/>
                      <w:szCs w:val="21"/>
                    </w:rPr>
                    <w:t>每月</w:t>
                  </w:r>
                </w:p>
              </w:tc>
              <w:tc>
                <w:tcPr>
                  <w:tcW w:w="873" w:type="dxa"/>
                  <w:vMerge w:val="restart"/>
                  <w:noWrap/>
                  <w:vAlign w:val="center"/>
                </w:tcPr>
                <w:p>
                  <w:pPr>
                    <w:spacing w:line="240" w:lineRule="exact"/>
                    <w:jc w:val="center"/>
                    <w:rPr>
                      <w:color w:val="auto"/>
                      <w:kern w:val="0"/>
                      <w:szCs w:val="21"/>
                    </w:rPr>
                  </w:pPr>
                  <w:r>
                    <w:rPr>
                      <w:color w:val="auto"/>
                      <w:kern w:val="0"/>
                      <w:szCs w:val="21"/>
                    </w:rPr>
                    <w:t>危废仓库暂存</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515" w:type="dxa"/>
                  <w:noWrap/>
                  <w:vAlign w:val="center"/>
                </w:tcPr>
                <w:p>
                  <w:pPr>
                    <w:spacing w:line="240" w:lineRule="exact"/>
                    <w:jc w:val="center"/>
                    <w:rPr>
                      <w:color w:val="auto"/>
                      <w:szCs w:val="21"/>
                    </w:rPr>
                  </w:pPr>
                  <w:r>
                    <w:rPr>
                      <w:color w:val="auto"/>
                      <w:szCs w:val="21"/>
                    </w:rPr>
                    <w:t>2</w:t>
                  </w:r>
                </w:p>
              </w:tc>
              <w:tc>
                <w:tcPr>
                  <w:tcW w:w="782" w:type="dxa"/>
                  <w:noWrap/>
                  <w:vAlign w:val="center"/>
                </w:tcPr>
                <w:p>
                  <w:pPr>
                    <w:jc w:val="center"/>
                    <w:rPr>
                      <w:color w:val="auto"/>
                      <w:szCs w:val="21"/>
                    </w:rPr>
                  </w:pPr>
                  <w:r>
                    <w:rPr>
                      <w:color w:val="auto"/>
                      <w:szCs w:val="21"/>
                    </w:rPr>
                    <w:t>废包装瓶</w:t>
                  </w:r>
                </w:p>
              </w:tc>
              <w:tc>
                <w:tcPr>
                  <w:tcW w:w="605" w:type="dxa"/>
                  <w:noWrap/>
                  <w:vAlign w:val="center"/>
                </w:tcPr>
                <w:p>
                  <w:pPr>
                    <w:jc w:val="center"/>
                    <w:rPr>
                      <w:color w:val="auto"/>
                      <w:szCs w:val="21"/>
                    </w:rPr>
                  </w:pPr>
                  <w:r>
                    <w:rPr>
                      <w:color w:val="auto"/>
                      <w:szCs w:val="21"/>
                    </w:rPr>
                    <w:t>固态</w:t>
                  </w:r>
                </w:p>
              </w:tc>
              <w:tc>
                <w:tcPr>
                  <w:tcW w:w="693" w:type="dxa"/>
                  <w:noWrap/>
                  <w:vAlign w:val="center"/>
                </w:tcPr>
                <w:p>
                  <w:pPr>
                    <w:jc w:val="center"/>
                    <w:rPr>
                      <w:color w:val="auto"/>
                      <w:szCs w:val="21"/>
                    </w:rPr>
                  </w:pPr>
                  <w:r>
                    <w:rPr>
                      <w:color w:val="auto"/>
                      <w:szCs w:val="21"/>
                    </w:rPr>
                    <w:t>原料包装</w:t>
                  </w:r>
                </w:p>
              </w:tc>
              <w:tc>
                <w:tcPr>
                  <w:tcW w:w="695" w:type="dxa"/>
                  <w:noWrap/>
                  <w:vAlign w:val="center"/>
                </w:tcPr>
                <w:p>
                  <w:pPr>
                    <w:jc w:val="center"/>
                    <w:rPr>
                      <w:color w:val="auto"/>
                    </w:rPr>
                  </w:pPr>
                  <w:r>
                    <w:rPr>
                      <w:color w:val="auto"/>
                      <w:szCs w:val="21"/>
                    </w:rPr>
                    <w:t>包装瓶</w:t>
                  </w:r>
                </w:p>
              </w:tc>
              <w:tc>
                <w:tcPr>
                  <w:tcW w:w="764" w:type="dxa"/>
                  <w:noWrap/>
                  <w:vAlign w:val="center"/>
                </w:tcPr>
                <w:p>
                  <w:pPr>
                    <w:spacing w:line="240" w:lineRule="exact"/>
                    <w:jc w:val="center"/>
                    <w:rPr>
                      <w:color w:val="auto"/>
                      <w:spacing w:val="-8"/>
                      <w:kern w:val="0"/>
                      <w:szCs w:val="21"/>
                    </w:rPr>
                  </w:pPr>
                  <w:r>
                    <w:rPr>
                      <w:color w:val="auto"/>
                      <w:spacing w:val="-8"/>
                      <w:kern w:val="0"/>
                      <w:szCs w:val="21"/>
                    </w:rPr>
                    <w:t>T/In</w:t>
                  </w:r>
                </w:p>
              </w:tc>
              <w:tc>
                <w:tcPr>
                  <w:tcW w:w="1406" w:type="dxa"/>
                  <w:noWrap/>
                  <w:vAlign w:val="center"/>
                </w:tcPr>
                <w:p>
                  <w:pPr>
                    <w:spacing w:line="240" w:lineRule="atLeast"/>
                    <w:jc w:val="center"/>
                    <w:rPr>
                      <w:color w:val="auto"/>
                      <w:szCs w:val="21"/>
                    </w:rPr>
                  </w:pPr>
                  <w:r>
                    <w:rPr>
                      <w:color w:val="auto"/>
                      <w:szCs w:val="21"/>
                    </w:rPr>
                    <w:t>HW49</w:t>
                  </w:r>
                </w:p>
                <w:p>
                  <w:pPr>
                    <w:spacing w:line="240" w:lineRule="atLeast"/>
                    <w:jc w:val="center"/>
                    <w:rPr>
                      <w:color w:val="auto"/>
                    </w:rPr>
                  </w:pPr>
                  <w:r>
                    <w:rPr>
                      <w:color w:val="auto"/>
                      <w:szCs w:val="21"/>
                    </w:rPr>
                    <w:t>900-041-49</w:t>
                  </w:r>
                </w:p>
              </w:tc>
              <w:tc>
                <w:tcPr>
                  <w:tcW w:w="1407" w:type="dxa"/>
                  <w:noWrap/>
                  <w:vAlign w:val="center"/>
                </w:tcPr>
                <w:p>
                  <w:pPr>
                    <w:jc w:val="center"/>
                    <w:rPr>
                      <w:color w:val="auto"/>
                      <w:szCs w:val="21"/>
                    </w:rPr>
                  </w:pPr>
                  <w:r>
                    <w:rPr>
                      <w:color w:val="auto"/>
                      <w:szCs w:val="21"/>
                    </w:rPr>
                    <w:t>0.1</w:t>
                  </w:r>
                </w:p>
              </w:tc>
              <w:tc>
                <w:tcPr>
                  <w:tcW w:w="695" w:type="dxa"/>
                  <w:noWrap/>
                  <w:vAlign w:val="center"/>
                </w:tcPr>
                <w:p>
                  <w:pPr>
                    <w:jc w:val="center"/>
                    <w:rPr>
                      <w:color w:val="auto"/>
                      <w:szCs w:val="21"/>
                    </w:rPr>
                  </w:pPr>
                  <w:r>
                    <w:rPr>
                      <w:color w:val="auto"/>
                      <w:szCs w:val="21"/>
                    </w:rPr>
                    <w:t>每月</w:t>
                  </w:r>
                </w:p>
              </w:tc>
              <w:tc>
                <w:tcPr>
                  <w:tcW w:w="873" w:type="dxa"/>
                  <w:vMerge w:val="continue"/>
                  <w:noWrap/>
                  <w:vAlign w:val="center"/>
                </w:tcPr>
                <w:p>
                  <w:pPr>
                    <w:spacing w:line="240" w:lineRule="exact"/>
                    <w:jc w:val="center"/>
                    <w:rPr>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515" w:type="dxa"/>
                  <w:noWrap/>
                  <w:vAlign w:val="center"/>
                </w:tcPr>
                <w:p>
                  <w:pPr>
                    <w:spacing w:line="240" w:lineRule="exact"/>
                    <w:jc w:val="center"/>
                    <w:rPr>
                      <w:color w:val="auto"/>
                      <w:szCs w:val="21"/>
                    </w:rPr>
                  </w:pPr>
                  <w:r>
                    <w:rPr>
                      <w:color w:val="auto"/>
                      <w:szCs w:val="21"/>
                    </w:rPr>
                    <w:t>3</w:t>
                  </w:r>
                </w:p>
              </w:tc>
              <w:tc>
                <w:tcPr>
                  <w:tcW w:w="782" w:type="dxa"/>
                  <w:noWrap/>
                  <w:vAlign w:val="center"/>
                </w:tcPr>
                <w:p>
                  <w:pPr>
                    <w:jc w:val="center"/>
                    <w:rPr>
                      <w:color w:val="auto"/>
                      <w:szCs w:val="21"/>
                    </w:rPr>
                  </w:pPr>
                  <w:r>
                    <w:rPr>
                      <w:color w:val="auto"/>
                      <w:szCs w:val="21"/>
                    </w:rPr>
                    <w:t>废抹布</w:t>
                  </w:r>
                </w:p>
              </w:tc>
              <w:tc>
                <w:tcPr>
                  <w:tcW w:w="605" w:type="dxa"/>
                  <w:noWrap/>
                  <w:vAlign w:val="center"/>
                </w:tcPr>
                <w:p>
                  <w:pPr>
                    <w:jc w:val="center"/>
                    <w:rPr>
                      <w:color w:val="auto"/>
                      <w:szCs w:val="21"/>
                    </w:rPr>
                  </w:pPr>
                  <w:r>
                    <w:rPr>
                      <w:color w:val="auto"/>
                      <w:szCs w:val="21"/>
                    </w:rPr>
                    <w:t>固态</w:t>
                  </w:r>
                </w:p>
              </w:tc>
              <w:tc>
                <w:tcPr>
                  <w:tcW w:w="693" w:type="dxa"/>
                  <w:noWrap/>
                  <w:vAlign w:val="center"/>
                </w:tcPr>
                <w:p>
                  <w:pPr>
                    <w:jc w:val="center"/>
                    <w:rPr>
                      <w:color w:val="auto"/>
                      <w:szCs w:val="21"/>
                    </w:rPr>
                  </w:pPr>
                  <w:r>
                    <w:rPr>
                      <w:color w:val="auto"/>
                      <w:szCs w:val="21"/>
                    </w:rPr>
                    <w:t>清洁</w:t>
                  </w:r>
                </w:p>
              </w:tc>
              <w:tc>
                <w:tcPr>
                  <w:tcW w:w="695" w:type="dxa"/>
                  <w:noWrap/>
                  <w:vAlign w:val="center"/>
                </w:tcPr>
                <w:p>
                  <w:pPr>
                    <w:jc w:val="center"/>
                    <w:rPr>
                      <w:color w:val="auto"/>
                    </w:rPr>
                  </w:pPr>
                  <w:r>
                    <w:rPr>
                      <w:color w:val="auto"/>
                      <w:szCs w:val="21"/>
                    </w:rPr>
                    <w:t>抹布</w:t>
                  </w:r>
                </w:p>
              </w:tc>
              <w:tc>
                <w:tcPr>
                  <w:tcW w:w="764" w:type="dxa"/>
                  <w:noWrap/>
                  <w:vAlign w:val="center"/>
                </w:tcPr>
                <w:p>
                  <w:pPr>
                    <w:spacing w:line="240" w:lineRule="exact"/>
                    <w:jc w:val="center"/>
                    <w:rPr>
                      <w:color w:val="auto"/>
                      <w:spacing w:val="-8"/>
                      <w:kern w:val="0"/>
                      <w:szCs w:val="21"/>
                    </w:rPr>
                  </w:pPr>
                  <w:r>
                    <w:rPr>
                      <w:color w:val="auto"/>
                      <w:spacing w:val="-8"/>
                      <w:kern w:val="0"/>
                      <w:szCs w:val="21"/>
                    </w:rPr>
                    <w:t>T/In</w:t>
                  </w:r>
                </w:p>
              </w:tc>
              <w:tc>
                <w:tcPr>
                  <w:tcW w:w="1406" w:type="dxa"/>
                  <w:noWrap/>
                  <w:vAlign w:val="center"/>
                </w:tcPr>
                <w:p>
                  <w:pPr>
                    <w:spacing w:line="240" w:lineRule="atLeast"/>
                    <w:jc w:val="center"/>
                    <w:rPr>
                      <w:color w:val="auto"/>
                      <w:szCs w:val="21"/>
                    </w:rPr>
                  </w:pPr>
                  <w:r>
                    <w:rPr>
                      <w:color w:val="auto"/>
                      <w:szCs w:val="21"/>
                    </w:rPr>
                    <w:t>HW49</w:t>
                  </w:r>
                </w:p>
                <w:p>
                  <w:pPr>
                    <w:spacing w:line="240" w:lineRule="atLeast"/>
                    <w:jc w:val="center"/>
                    <w:rPr>
                      <w:color w:val="auto"/>
                    </w:rPr>
                  </w:pPr>
                  <w:r>
                    <w:rPr>
                      <w:color w:val="auto"/>
                      <w:szCs w:val="21"/>
                    </w:rPr>
                    <w:t>900-041-49</w:t>
                  </w:r>
                </w:p>
              </w:tc>
              <w:tc>
                <w:tcPr>
                  <w:tcW w:w="1407" w:type="dxa"/>
                  <w:noWrap/>
                  <w:vAlign w:val="center"/>
                </w:tcPr>
                <w:p>
                  <w:pPr>
                    <w:jc w:val="center"/>
                    <w:rPr>
                      <w:color w:val="auto"/>
                      <w:szCs w:val="21"/>
                    </w:rPr>
                  </w:pPr>
                  <w:r>
                    <w:rPr>
                      <w:color w:val="auto"/>
                      <w:szCs w:val="21"/>
                    </w:rPr>
                    <w:t>0.1</w:t>
                  </w:r>
                </w:p>
              </w:tc>
              <w:tc>
                <w:tcPr>
                  <w:tcW w:w="695" w:type="dxa"/>
                  <w:noWrap/>
                  <w:vAlign w:val="center"/>
                </w:tcPr>
                <w:p>
                  <w:pPr>
                    <w:jc w:val="center"/>
                    <w:rPr>
                      <w:color w:val="auto"/>
                      <w:szCs w:val="21"/>
                    </w:rPr>
                  </w:pPr>
                  <w:r>
                    <w:rPr>
                      <w:color w:val="auto"/>
                      <w:szCs w:val="21"/>
                    </w:rPr>
                    <w:t>每月</w:t>
                  </w:r>
                </w:p>
              </w:tc>
              <w:tc>
                <w:tcPr>
                  <w:tcW w:w="873" w:type="dxa"/>
                  <w:vMerge w:val="continue"/>
                  <w:noWrap/>
                  <w:vAlign w:val="center"/>
                </w:tcPr>
                <w:p>
                  <w:pPr>
                    <w:spacing w:line="240" w:lineRule="exact"/>
                    <w:jc w:val="center"/>
                    <w:rPr>
                      <w:color w:val="auto"/>
                      <w:kern w:val="0"/>
                      <w:szCs w:val="21"/>
                    </w:rPr>
                  </w:pPr>
                </w:p>
              </w:tc>
            </w:tr>
          </w:tbl>
          <w:p>
            <w:pPr>
              <w:numPr>
                <w:ilvl w:val="0"/>
                <w:numId w:val="0"/>
              </w:numPr>
              <w:spacing w:line="360" w:lineRule="auto"/>
              <w:ind w:firstLine="480" w:firstLineChars="200"/>
              <w:rPr>
                <w:rFonts w:hint="eastAsia"/>
                <w:color w:val="auto"/>
                <w:sz w:val="24"/>
                <w:lang w:eastAsia="zh-CN"/>
              </w:rPr>
            </w:pPr>
            <w:r>
              <w:rPr>
                <w:rFonts w:hint="eastAsia" w:ascii="Times New Roman" w:hAnsi="Times New Roman" w:eastAsia="宋体" w:cs="Times New Roman"/>
                <w:color w:val="auto"/>
                <w:kern w:val="2"/>
                <w:sz w:val="24"/>
                <w:szCs w:val="24"/>
                <w:lang w:val="en-US" w:eastAsia="zh-CN" w:bidi="ar-SA"/>
              </w:rPr>
              <w:t>（1）</w:t>
            </w:r>
            <w:r>
              <w:rPr>
                <w:rFonts w:hint="eastAsia"/>
                <w:color w:val="auto"/>
                <w:sz w:val="24"/>
                <w:lang w:eastAsia="zh-CN"/>
              </w:rPr>
              <w:t>全厂一般固体废物收集后存放于一般固废仓库内，</w:t>
            </w:r>
            <w:r>
              <w:rPr>
                <w:color w:val="auto"/>
                <w:sz w:val="24"/>
              </w:rPr>
              <w:t>无渗滤液产生，不会对周围土壤和地下水环境产生污染，不会产生二次污染。一般工业固废仓库需符合《一般工业固体废物贮存和填埋污染控制标准》（GB18599-2020）的要求，具体要求如下：</w:t>
            </w:r>
          </w:p>
          <w:p>
            <w:pPr>
              <w:numPr>
                <w:ilvl w:val="0"/>
                <w:numId w:val="0"/>
              </w:numPr>
              <w:spacing w:line="360" w:lineRule="auto"/>
              <w:ind w:firstLine="480" w:firstLineChars="200"/>
              <w:rPr>
                <w:color w:val="auto"/>
                <w:sz w:val="24"/>
              </w:rPr>
            </w:pPr>
            <w:r>
              <w:rPr>
                <w:color w:val="auto"/>
                <w:sz w:val="24"/>
              </w:rPr>
              <w:t>①贮存、处置场的建设类型，必须与将要堆放的一般工业固体废物的类别相一致。</w:t>
            </w:r>
          </w:p>
          <w:p>
            <w:pPr>
              <w:numPr>
                <w:ilvl w:val="0"/>
                <w:numId w:val="0"/>
              </w:numPr>
              <w:spacing w:line="360" w:lineRule="auto"/>
              <w:ind w:firstLine="480" w:firstLineChars="200"/>
              <w:rPr>
                <w:color w:val="auto"/>
                <w:sz w:val="24"/>
              </w:rPr>
            </w:pPr>
            <w:r>
              <w:rPr>
                <w:color w:val="auto"/>
                <w:sz w:val="24"/>
              </w:rPr>
              <w:t>②为保障设施正常运营，必要时应采取措施防止地基下沉</w:t>
            </w:r>
            <w:r>
              <w:rPr>
                <w:rFonts w:hint="eastAsia"/>
                <w:color w:val="auto"/>
                <w:sz w:val="24"/>
                <w:lang w:eastAsia="zh-CN"/>
              </w:rPr>
              <w:t>，</w:t>
            </w:r>
            <w:r>
              <w:rPr>
                <w:color w:val="auto"/>
                <w:sz w:val="24"/>
              </w:rPr>
              <w:t>尤其是防止局部下沉。</w:t>
            </w:r>
          </w:p>
          <w:p>
            <w:pPr>
              <w:numPr>
                <w:ilvl w:val="0"/>
                <w:numId w:val="0"/>
              </w:numPr>
              <w:spacing w:line="360" w:lineRule="auto"/>
              <w:ind w:firstLine="480" w:firstLineChars="200"/>
              <w:rPr>
                <w:color w:val="auto"/>
                <w:sz w:val="24"/>
              </w:rPr>
            </w:pPr>
            <w:r>
              <w:rPr>
                <w:color w:val="auto"/>
                <w:sz w:val="24"/>
              </w:rPr>
              <w:t>依据固体废物的种类、产生量及其管理的全过程可能造成的环境影响进行分析：</w:t>
            </w:r>
          </w:p>
          <w:p>
            <w:pPr>
              <w:numPr>
                <w:ilvl w:val="0"/>
                <w:numId w:val="0"/>
              </w:numPr>
              <w:spacing w:line="360" w:lineRule="auto"/>
              <w:ind w:firstLine="480" w:firstLineChars="200"/>
              <w:rPr>
                <w:color w:val="auto"/>
                <w:sz w:val="24"/>
              </w:rPr>
            </w:pPr>
            <w:r>
              <w:rPr>
                <w:rFonts w:hint="eastAsia"/>
                <w:color w:val="auto"/>
                <w:sz w:val="24"/>
                <w:lang w:eastAsia="zh-CN"/>
              </w:rPr>
              <w:t>①</w:t>
            </w:r>
            <w:r>
              <w:rPr>
                <w:color w:val="auto"/>
                <w:sz w:val="24"/>
              </w:rPr>
              <w:t>全厂固废分类收集与贮存，不混放，固废相互间不影响。</w:t>
            </w:r>
          </w:p>
          <w:p>
            <w:pPr>
              <w:numPr>
                <w:ilvl w:val="0"/>
                <w:numId w:val="0"/>
              </w:numPr>
              <w:spacing w:line="360" w:lineRule="auto"/>
              <w:ind w:firstLine="480" w:firstLineChars="200"/>
              <w:rPr>
                <w:color w:val="auto"/>
                <w:sz w:val="24"/>
              </w:rPr>
            </w:pPr>
            <w:r>
              <w:rPr>
                <w:rFonts w:hint="eastAsia"/>
                <w:color w:val="auto"/>
                <w:sz w:val="24"/>
                <w:lang w:eastAsia="zh-CN"/>
              </w:rPr>
              <w:t>②</w:t>
            </w:r>
            <w:r>
              <w:rPr>
                <w:color w:val="auto"/>
                <w:sz w:val="24"/>
              </w:rPr>
              <w:t>全厂固废运输由专业的运输单位负责，在运输过程中采用封闭运输，运输过程中不易散落，对环境影响较小。</w:t>
            </w:r>
          </w:p>
          <w:p>
            <w:pPr>
              <w:numPr>
                <w:ilvl w:val="0"/>
                <w:numId w:val="0"/>
              </w:numPr>
              <w:spacing w:line="360" w:lineRule="auto"/>
              <w:ind w:firstLine="480" w:firstLineChars="200"/>
              <w:rPr>
                <w:color w:val="auto"/>
                <w:sz w:val="24"/>
              </w:rPr>
            </w:pPr>
            <w:r>
              <w:rPr>
                <w:rFonts w:hint="eastAsia"/>
                <w:color w:val="auto"/>
                <w:sz w:val="24"/>
                <w:lang w:eastAsia="zh-CN"/>
              </w:rPr>
              <w:t>③</w:t>
            </w:r>
            <w:r>
              <w:rPr>
                <w:color w:val="auto"/>
                <w:sz w:val="24"/>
              </w:rPr>
              <w:t>固废的贮存场所地面采用防渗地面，对土壤、地下水产生的影响较小。</w:t>
            </w:r>
          </w:p>
          <w:p>
            <w:pPr>
              <w:numPr>
                <w:ilvl w:val="0"/>
                <w:numId w:val="0"/>
              </w:numPr>
              <w:spacing w:line="360" w:lineRule="auto"/>
              <w:ind w:firstLine="480" w:firstLineChars="200"/>
              <w:rPr>
                <w:color w:val="auto"/>
                <w:sz w:val="24"/>
              </w:rPr>
            </w:pPr>
            <w:r>
              <w:rPr>
                <w:color w:val="auto"/>
                <w:sz w:val="24"/>
              </w:rPr>
              <w:t>④全厂的固废通过环卫清运、许可单位处理、外售等方式处置或利用，均不在厂内处理，对大气、水体、土壤环境基本不产生影响。</w:t>
            </w:r>
          </w:p>
          <w:p>
            <w:pPr>
              <w:numPr>
                <w:ilvl w:val="0"/>
                <w:numId w:val="0"/>
              </w:numPr>
              <w:spacing w:line="360" w:lineRule="auto"/>
              <w:ind w:firstLine="480" w:firstLineChars="200"/>
              <w:rPr>
                <w:rFonts w:hint="eastAsia"/>
                <w:color w:val="auto"/>
                <w:sz w:val="24"/>
                <w:lang w:eastAsia="zh-CN"/>
              </w:rPr>
            </w:pPr>
            <w:r>
              <w:rPr>
                <w:rFonts w:hint="eastAsia"/>
                <w:color w:val="auto"/>
                <w:sz w:val="24"/>
                <w:lang w:eastAsia="zh-CN"/>
              </w:rPr>
              <w:t>全厂</w:t>
            </w:r>
            <w:r>
              <w:rPr>
                <w:color w:val="auto"/>
                <w:sz w:val="24"/>
              </w:rPr>
              <w:t>一般工业固废处理措施和处置方案满足《一般工业固体废物贮存和填埋污染控制标准》（GB18599-2020）要求，对周围环境影响较小。</w:t>
            </w:r>
          </w:p>
          <w:p>
            <w:pPr>
              <w:spacing w:line="360" w:lineRule="auto"/>
              <w:ind w:firstLine="480" w:firstLineChars="200"/>
              <w:rPr>
                <w:color w:val="auto"/>
                <w:sz w:val="24"/>
              </w:rPr>
            </w:pPr>
            <w:r>
              <w:rPr>
                <w:color w:val="auto"/>
                <w:sz w:val="24"/>
              </w:rPr>
              <w:t>（</w:t>
            </w:r>
            <w:r>
              <w:rPr>
                <w:rFonts w:hint="eastAsia"/>
                <w:color w:val="auto"/>
                <w:sz w:val="24"/>
                <w:lang w:val="en-US" w:eastAsia="zh-CN"/>
              </w:rPr>
              <w:t>2</w:t>
            </w:r>
            <w:r>
              <w:rPr>
                <w:color w:val="auto"/>
                <w:sz w:val="24"/>
              </w:rPr>
              <w:t>）危废暂存场所在使用和建设过程中应严格按照《危险废物贮存污染控制标准》（GB18597-2023）的要求规范建设和维护使用，具体有以下内容：</w:t>
            </w:r>
          </w:p>
          <w:p>
            <w:pPr>
              <w:spacing w:line="360" w:lineRule="auto"/>
              <w:ind w:firstLine="480" w:firstLineChars="200"/>
              <w:rPr>
                <w:color w:val="auto"/>
                <w:sz w:val="24"/>
              </w:rPr>
            </w:pPr>
            <w:r>
              <w:rPr>
                <w:color w:val="auto"/>
                <w:sz w:val="24"/>
              </w:rPr>
              <w:t>①贮存设施应根据危险废物的形态、物理化学性质、包装形式和污染物迁移</w:t>
            </w:r>
            <w:r>
              <w:rPr>
                <w:color w:val="auto"/>
                <w:sz w:val="24"/>
              </w:rPr>
              <w:br w:type="textWrapping"/>
            </w:r>
            <w:r>
              <w:rPr>
                <w:color w:val="auto"/>
                <w:sz w:val="24"/>
              </w:rPr>
              <w:t>途径，采取必要的防风、防晒、防雨、防漏、防渗、防腐以及其他环境污染防治</w:t>
            </w:r>
            <w:r>
              <w:rPr>
                <w:color w:val="auto"/>
                <w:sz w:val="24"/>
              </w:rPr>
              <w:br w:type="textWrapping"/>
            </w:r>
            <w:r>
              <w:rPr>
                <w:color w:val="auto"/>
                <w:sz w:val="24"/>
              </w:rPr>
              <w:t>措施，不应露天堆放危险废物。</w:t>
            </w:r>
          </w:p>
          <w:p>
            <w:pPr>
              <w:spacing w:line="360" w:lineRule="auto"/>
              <w:ind w:firstLine="480" w:firstLineChars="200"/>
              <w:rPr>
                <w:color w:val="auto"/>
                <w:sz w:val="24"/>
              </w:rPr>
            </w:pPr>
            <w:r>
              <w:rPr>
                <w:color w:val="auto"/>
                <w:sz w:val="24"/>
              </w:rPr>
              <w:t>②贮存设施应根据危险废物的类别、数量、形态、物理化学性质和污染防治</w:t>
            </w:r>
            <w:r>
              <w:rPr>
                <w:color w:val="auto"/>
                <w:sz w:val="24"/>
              </w:rPr>
              <w:br w:type="textWrapping"/>
            </w:r>
            <w:r>
              <w:rPr>
                <w:color w:val="auto"/>
                <w:sz w:val="24"/>
              </w:rPr>
              <w:t>等要求设置必要的贮存分区，避免不相容的危险废物接触、混合。</w:t>
            </w:r>
          </w:p>
          <w:p>
            <w:pPr>
              <w:spacing w:line="360" w:lineRule="auto"/>
              <w:ind w:firstLine="480" w:firstLineChars="200"/>
              <w:rPr>
                <w:color w:val="auto"/>
                <w:sz w:val="24"/>
              </w:rPr>
            </w:pPr>
            <w:r>
              <w:rPr>
                <w:color w:val="auto"/>
                <w:sz w:val="24"/>
              </w:rPr>
              <w:t>③贮存设施或贮存分区内地面、墙面裙脚、堵截泄漏的围堰、接触危险废物</w:t>
            </w:r>
            <w:r>
              <w:rPr>
                <w:color w:val="auto"/>
                <w:sz w:val="24"/>
              </w:rPr>
              <w:br w:type="textWrapping"/>
            </w:r>
            <w:r>
              <w:rPr>
                <w:color w:val="auto"/>
                <w:sz w:val="24"/>
              </w:rPr>
              <w:t>的隔板和墙体等应采用坚固的材料建造，表面无裂缝。</w:t>
            </w:r>
          </w:p>
          <w:p>
            <w:pPr>
              <w:spacing w:line="360" w:lineRule="auto"/>
              <w:ind w:firstLine="480" w:firstLineChars="200"/>
              <w:rPr>
                <w:color w:val="auto"/>
                <w:sz w:val="24"/>
              </w:rPr>
            </w:pPr>
            <w:r>
              <w:rPr>
                <w:color w:val="auto"/>
                <w:sz w:val="24"/>
              </w:rPr>
              <w:t>④贮存设施地面与裙脚应采取表面防渗措施；表面防渗材料应与所接触的物</w:t>
            </w:r>
            <w:r>
              <w:rPr>
                <w:color w:val="auto"/>
                <w:sz w:val="24"/>
              </w:rPr>
              <w:br w:type="textWrapping"/>
            </w:r>
            <w:r>
              <w:rPr>
                <w:color w:val="auto"/>
                <w:sz w:val="24"/>
              </w:rPr>
              <w:t>料或污染物相容，可采用抗渗混凝土、高密度聚乙烯膜、钠基膨润土防水毯或其他防渗性能等效的材料。贮存的危险废物直接接触地面的，还应进行基础防渗，防渗层为至少1m厚黏土层（渗透系数不大于10</w:t>
            </w:r>
            <w:r>
              <w:rPr>
                <w:color w:val="auto"/>
                <w:sz w:val="24"/>
                <w:vertAlign w:val="superscript"/>
              </w:rPr>
              <w:t>-7</w:t>
            </w:r>
            <w:r>
              <w:rPr>
                <w:color w:val="auto"/>
                <w:sz w:val="24"/>
              </w:rPr>
              <w:t>cm/s），或至少2mm厚高密度聚乙烯膜等人工防渗材料（渗透系数不大于10</w:t>
            </w:r>
            <w:r>
              <w:rPr>
                <w:color w:val="auto"/>
                <w:sz w:val="24"/>
                <w:vertAlign w:val="superscript"/>
              </w:rPr>
              <w:t>-10</w:t>
            </w:r>
            <w:r>
              <w:rPr>
                <w:color w:val="auto"/>
                <w:sz w:val="24"/>
              </w:rPr>
              <w:t>cm/s），或其他防渗性能等效的材料。</w:t>
            </w:r>
          </w:p>
          <w:p>
            <w:pPr>
              <w:spacing w:line="360" w:lineRule="auto"/>
              <w:ind w:firstLine="480" w:firstLineChars="200"/>
              <w:rPr>
                <w:color w:val="auto"/>
                <w:sz w:val="24"/>
              </w:rPr>
            </w:pPr>
            <w:r>
              <w:rPr>
                <w:color w:val="auto"/>
                <w:sz w:val="24"/>
              </w:rPr>
              <w:t>⑤同一贮存设施宜采用相同的防渗、防腐工艺（包括防渗、防腐结构或材料），防渗、防腐材料应覆盖所有可能与废物及其渗滤液、渗漏液等接触的构筑物表面；采用不同防渗、防腐工艺应分别建设贮存分区。</w:t>
            </w:r>
          </w:p>
          <w:p>
            <w:pPr>
              <w:spacing w:line="360" w:lineRule="auto"/>
              <w:ind w:firstLine="480" w:firstLineChars="200"/>
              <w:rPr>
                <w:color w:val="auto"/>
                <w:sz w:val="24"/>
              </w:rPr>
            </w:pPr>
            <w:r>
              <w:rPr>
                <w:color w:val="auto"/>
                <w:sz w:val="24"/>
              </w:rPr>
              <w:t>⑥贮存设施应采取技术和管理措施防止无关人员进入。</w:t>
            </w:r>
          </w:p>
          <w:p>
            <w:pPr>
              <w:spacing w:line="360" w:lineRule="auto"/>
              <w:ind w:firstLine="480" w:firstLineChars="200"/>
              <w:rPr>
                <w:color w:val="auto"/>
                <w:sz w:val="24"/>
              </w:rPr>
            </w:pPr>
            <w:r>
              <w:rPr>
                <w:color w:val="auto"/>
                <w:sz w:val="24"/>
              </w:rPr>
              <w:t>⑦容器和包装物材质、内衬应与盛装的危险废物相容。</w:t>
            </w:r>
          </w:p>
          <w:p>
            <w:pPr>
              <w:spacing w:line="360" w:lineRule="auto"/>
              <w:ind w:firstLine="480" w:firstLineChars="200"/>
              <w:rPr>
                <w:color w:val="auto"/>
                <w:sz w:val="24"/>
              </w:rPr>
            </w:pPr>
            <w:r>
              <w:rPr>
                <w:color w:val="auto"/>
                <w:sz w:val="24"/>
              </w:rPr>
              <w:t>⑧使用容器盛装液态、半固态危险废物时，容器内部应留有适当的空间，以适应因温度变化等可能引发的收缩和膨胀，防止其导致容器渗漏或永久变形。</w:t>
            </w:r>
          </w:p>
          <w:p>
            <w:pPr>
              <w:spacing w:line="360" w:lineRule="auto"/>
              <w:ind w:firstLine="480" w:firstLineChars="200"/>
              <w:rPr>
                <w:color w:val="auto"/>
                <w:sz w:val="24"/>
              </w:rPr>
            </w:pPr>
            <w:r>
              <w:rPr>
                <w:color w:val="auto"/>
                <w:sz w:val="24"/>
              </w:rPr>
              <w:t>（</w:t>
            </w:r>
            <w:r>
              <w:rPr>
                <w:rFonts w:hint="eastAsia"/>
                <w:color w:val="auto"/>
                <w:sz w:val="24"/>
                <w:lang w:val="en-US" w:eastAsia="zh-CN"/>
              </w:rPr>
              <w:t>3</w:t>
            </w:r>
            <w:r>
              <w:rPr>
                <w:color w:val="auto"/>
                <w:sz w:val="24"/>
              </w:rPr>
              <w:t>）危险废物处理、处置的环境影响分析</w:t>
            </w:r>
          </w:p>
          <w:p>
            <w:pPr>
              <w:spacing w:line="360" w:lineRule="auto"/>
              <w:ind w:firstLine="480" w:firstLineChars="200"/>
              <w:rPr>
                <w:color w:val="auto"/>
                <w:sz w:val="24"/>
              </w:rPr>
            </w:pPr>
            <w:r>
              <w:rPr>
                <w:color w:val="auto"/>
                <w:sz w:val="24"/>
              </w:rPr>
              <w:t>危险废物运输单位必须具有危险废物的运输能力，按照《危险废物收集贮存运输技术规范》（HJ2025-2012）相关规定执行。运输单位采取有效措施，杜绝运输途中事故的发生；固体废物全部处置、处理或者综合利用，并按固废管理要求办理相应的转运手续。危废处置单位须拥有危废经营许可证，符合国家、江苏省关于危险废物污染防治技术政策与相关规定及管理要求。严格采取以上危险废物处理处置措施后，危险废物得到有效的处置，对环境影响较小，其处理可行。</w:t>
            </w:r>
          </w:p>
          <w:p>
            <w:pPr>
              <w:spacing w:line="360" w:lineRule="auto"/>
              <w:ind w:firstLine="480" w:firstLineChars="200"/>
              <w:rPr>
                <w:color w:val="auto"/>
                <w:sz w:val="24"/>
              </w:rPr>
            </w:pPr>
            <w:r>
              <w:rPr>
                <w:color w:val="auto"/>
                <w:sz w:val="24"/>
              </w:rPr>
              <w:t>（</w:t>
            </w:r>
            <w:r>
              <w:rPr>
                <w:rFonts w:hint="eastAsia"/>
                <w:color w:val="auto"/>
                <w:sz w:val="24"/>
                <w:lang w:val="en-US" w:eastAsia="zh-CN"/>
              </w:rPr>
              <w:t>4</w:t>
            </w:r>
            <w:r>
              <w:rPr>
                <w:color w:val="auto"/>
                <w:sz w:val="24"/>
              </w:rPr>
              <w:t>）</w:t>
            </w:r>
            <w:r>
              <w:rPr>
                <w:rFonts w:hint="eastAsia"/>
                <w:color w:val="auto"/>
                <w:sz w:val="24"/>
              </w:rPr>
              <w:t>加强环境管理</w:t>
            </w:r>
          </w:p>
          <w:p>
            <w:pPr>
              <w:spacing w:line="360" w:lineRule="auto"/>
              <w:ind w:firstLine="480" w:firstLineChars="200"/>
              <w:rPr>
                <w:color w:val="auto"/>
                <w:sz w:val="24"/>
              </w:rPr>
            </w:pPr>
            <w:r>
              <w:rPr>
                <w:color w:val="auto"/>
                <w:sz w:val="24"/>
              </w:rPr>
              <w:t>危废暂存场所应严格按照《省生态环境厅关于印发江苏省危险废物贮存规范化管理专项整治行动方案的通知》（苏环办[2019]149号）、《关于印发&lt;苏州市危险废物贮存规范化管理专项整治工作方案&gt;的通知》（苏环办字[2019]82号）、《</w:t>
            </w:r>
            <w:r>
              <w:rPr>
                <w:rFonts w:hint="eastAsia"/>
                <w:color w:val="auto"/>
                <w:sz w:val="24"/>
                <w:lang w:eastAsia="zh-CN"/>
              </w:rPr>
              <w:t>江苏省固体废物全过程环境监管工作意见</w:t>
            </w:r>
            <w:r>
              <w:rPr>
                <w:color w:val="auto"/>
                <w:sz w:val="24"/>
              </w:rPr>
              <w:t>》（苏环办[20</w:t>
            </w:r>
            <w:r>
              <w:rPr>
                <w:rFonts w:hint="eastAsia"/>
                <w:color w:val="auto"/>
                <w:sz w:val="24"/>
                <w:lang w:val="en-US" w:eastAsia="zh-CN"/>
              </w:rPr>
              <w:t>24]16</w:t>
            </w:r>
            <w:r>
              <w:rPr>
                <w:color w:val="auto"/>
                <w:sz w:val="24"/>
              </w:rPr>
              <w:t>号）等相关要求规范建设和维护使用，按照《环境保护图形标志固体废物贮存（处置）</w:t>
            </w:r>
            <w:r>
              <w:rPr>
                <w:color w:val="auto"/>
                <w:sz w:val="24"/>
              </w:rPr>
              <w:br w:type="textWrapping"/>
            </w:r>
            <w:r>
              <w:rPr>
                <w:color w:val="auto"/>
                <w:sz w:val="24"/>
              </w:rPr>
              <w:t>场》（GB15562.2-1995）及2023修改单、《危险废物识别标志设置技术规范》</w:t>
            </w:r>
            <w:r>
              <w:rPr>
                <w:color w:val="auto"/>
                <w:sz w:val="24"/>
              </w:rPr>
              <w:br w:type="textWrapping"/>
            </w:r>
            <w:r>
              <w:rPr>
                <w:color w:val="auto"/>
                <w:sz w:val="24"/>
              </w:rPr>
              <w:t>（HJ1276-2022）和《排污单位污染物排放口二维码标识技术规范》（HJ1297-2023）</w:t>
            </w:r>
            <w:r>
              <w:rPr>
                <w:color w:val="auto"/>
                <w:sz w:val="24"/>
              </w:rPr>
              <w:br w:type="textWrapping"/>
            </w:r>
            <w:r>
              <w:rPr>
                <w:color w:val="auto"/>
                <w:sz w:val="24"/>
              </w:rPr>
              <w:t>等文件设置标志，配备通讯设备、照明设施和消防设施，设置气体导出口及气体</w:t>
            </w:r>
            <w:r>
              <w:rPr>
                <w:color w:val="auto"/>
                <w:sz w:val="24"/>
              </w:rPr>
              <w:br w:type="textWrapping"/>
            </w:r>
            <w:r>
              <w:rPr>
                <w:color w:val="auto"/>
                <w:sz w:val="24"/>
              </w:rPr>
              <w:t>净化装置，确保废气达标排放；在出入口、设施内部、危险废物运输车辆通道等</w:t>
            </w:r>
            <w:r>
              <w:rPr>
                <w:color w:val="auto"/>
                <w:sz w:val="24"/>
              </w:rPr>
              <w:br w:type="textWrapping"/>
            </w:r>
            <w:r>
              <w:rPr>
                <w:color w:val="auto"/>
                <w:sz w:val="24"/>
              </w:rPr>
              <w:t>关键位置按照危险废物贮存设施视频监控布设要求设置视频监控，并与中控室联</w:t>
            </w:r>
            <w:r>
              <w:rPr>
                <w:color w:val="auto"/>
                <w:sz w:val="24"/>
              </w:rPr>
              <w:br w:type="textWrapping"/>
            </w:r>
            <w:r>
              <w:rPr>
                <w:color w:val="auto"/>
                <w:sz w:val="24"/>
              </w:rPr>
              <w:t>网。</w:t>
            </w:r>
          </w:p>
          <w:p>
            <w:pPr>
              <w:spacing w:line="360" w:lineRule="auto"/>
              <w:ind w:firstLine="480" w:firstLineChars="200"/>
              <w:rPr>
                <w:color w:val="auto"/>
                <w:sz w:val="24"/>
              </w:rPr>
            </w:pPr>
            <w:r>
              <w:rPr>
                <w:color w:val="auto"/>
                <w:sz w:val="24"/>
              </w:rPr>
              <w:t>①危废暂存区必须派专人管理，其他人未经允许不得进入内。</w:t>
            </w:r>
          </w:p>
          <w:p>
            <w:pPr>
              <w:spacing w:line="360" w:lineRule="auto"/>
              <w:ind w:firstLine="480" w:firstLineChars="200"/>
              <w:rPr>
                <w:color w:val="auto"/>
                <w:sz w:val="24"/>
              </w:rPr>
            </w:pPr>
            <w:r>
              <w:rPr>
                <w:color w:val="auto"/>
                <w:sz w:val="24"/>
              </w:rPr>
              <w:t>②危险废物暂存区不得存放除危险废物以外的其他废弃物。</w:t>
            </w:r>
          </w:p>
          <w:p>
            <w:pPr>
              <w:spacing w:line="360" w:lineRule="auto"/>
              <w:ind w:firstLine="480" w:firstLineChars="200"/>
              <w:rPr>
                <w:color w:val="auto"/>
                <w:sz w:val="24"/>
              </w:rPr>
            </w:pPr>
            <w:r>
              <w:rPr>
                <w:color w:val="auto"/>
                <w:sz w:val="24"/>
              </w:rPr>
              <w:t>③当危险废物存放到一定数量，管理人员应及时通知安全环保部门办理相关手续送往有资质单位处理。</w:t>
            </w:r>
          </w:p>
          <w:p>
            <w:pPr>
              <w:spacing w:line="360" w:lineRule="auto"/>
              <w:ind w:firstLine="480" w:firstLineChars="200"/>
              <w:rPr>
                <w:color w:val="auto"/>
                <w:sz w:val="24"/>
              </w:rPr>
            </w:pPr>
            <w:r>
              <w:rPr>
                <w:color w:val="auto"/>
                <w:sz w:val="24"/>
              </w:rPr>
              <w:t>④危废应在危废暂存区规定允许存放的时间存入，送入危险废物暂存区时应做好统一包装（如有液体桶装），防止渗漏，并分别贴好标识，注明危险废物名称。</w:t>
            </w:r>
          </w:p>
          <w:p>
            <w:pPr>
              <w:spacing w:line="360" w:lineRule="auto"/>
              <w:ind w:firstLine="480" w:firstLineChars="200"/>
              <w:rPr>
                <w:color w:val="auto"/>
                <w:sz w:val="24"/>
              </w:rPr>
            </w:pPr>
            <w:r>
              <w:rPr>
                <w:color w:val="auto"/>
                <w:sz w:val="24"/>
              </w:rPr>
              <w:t>⑤产生的危险废物每次送入危废暂存区必须进行称重，危险废物暂存场所管</w:t>
            </w:r>
            <w:r>
              <w:rPr>
                <w:color w:val="auto"/>
                <w:sz w:val="24"/>
              </w:rPr>
              <w:br w:type="textWrapping"/>
            </w:r>
            <w:r>
              <w:rPr>
                <w:color w:val="auto"/>
                <w:sz w:val="24"/>
              </w:rPr>
              <w:t>理人员经核定无误后方可入库登记同时双方签字确认。</w:t>
            </w:r>
          </w:p>
          <w:p>
            <w:pPr>
              <w:spacing w:line="360" w:lineRule="auto"/>
              <w:ind w:firstLine="480" w:firstLineChars="200"/>
              <w:rPr>
                <w:color w:val="auto"/>
                <w:sz w:val="24"/>
              </w:rPr>
            </w:pPr>
            <w:r>
              <w:rPr>
                <w:color w:val="auto"/>
                <w:sz w:val="24"/>
              </w:rPr>
              <w:t>⑥需凭借交接单入库，没有交接单不得入库，环保主管部门需定期查看。</w:t>
            </w:r>
          </w:p>
          <w:p>
            <w:pPr>
              <w:spacing w:line="360" w:lineRule="auto"/>
              <w:ind w:firstLine="480" w:firstLineChars="200"/>
              <w:rPr>
                <w:color w:val="auto"/>
                <w:sz w:val="24"/>
              </w:rPr>
            </w:pPr>
            <w:r>
              <w:rPr>
                <w:color w:val="auto"/>
                <w:sz w:val="24"/>
              </w:rPr>
              <w:t>⑦设置防雨、防火、防雷、防扬散、防渗漏装置及泄漏液体收集装置。</w:t>
            </w:r>
          </w:p>
          <w:p>
            <w:pPr>
              <w:spacing w:line="360" w:lineRule="auto"/>
              <w:ind w:firstLine="480" w:firstLineChars="200"/>
              <w:rPr>
                <w:color w:val="auto"/>
                <w:sz w:val="24"/>
              </w:rPr>
            </w:pPr>
            <w:r>
              <w:rPr>
                <w:color w:val="auto"/>
                <w:sz w:val="24"/>
              </w:rPr>
              <w:t>⑧危险废物贮存设施内清理出来的泄漏物，一律按危险废物处理。</w:t>
            </w:r>
          </w:p>
          <w:p>
            <w:pPr>
              <w:spacing w:line="360" w:lineRule="auto"/>
              <w:ind w:firstLine="480" w:firstLineChars="200"/>
              <w:rPr>
                <w:color w:val="auto"/>
                <w:sz w:val="24"/>
              </w:rPr>
            </w:pPr>
            <w:r>
              <w:rPr>
                <w:color w:val="auto"/>
                <w:sz w:val="24"/>
              </w:rPr>
              <w:t>⑨危险废物贮存期限不超过一年，需延长期限的应报环保主管部门批准。</w:t>
            </w:r>
          </w:p>
          <w:p>
            <w:pPr>
              <w:spacing w:line="360" w:lineRule="auto"/>
              <w:ind w:firstLine="480" w:firstLineChars="200"/>
              <w:rPr>
                <w:color w:val="auto"/>
                <w:sz w:val="24"/>
              </w:rPr>
            </w:pPr>
            <w:r>
              <w:rPr>
                <w:color w:val="auto"/>
                <w:sz w:val="24"/>
              </w:rPr>
              <w:t>⑩制定固体废物特别是危险废物暂存、转移中的污染防范及事故应急措施。</w:t>
            </w:r>
          </w:p>
          <w:p>
            <w:pPr>
              <w:spacing w:line="360" w:lineRule="auto"/>
              <w:ind w:firstLine="480" w:firstLineChars="200"/>
              <w:rPr>
                <w:b/>
                <w:color w:val="auto"/>
                <w:sz w:val="24"/>
              </w:rPr>
            </w:pPr>
            <w:r>
              <w:rPr>
                <w:color w:val="auto"/>
                <w:sz w:val="24"/>
              </w:rPr>
              <w:t>综上分析，本项目不产生二次污染，建设项目各种固废可得到有效处置，对</w:t>
            </w:r>
            <w:r>
              <w:rPr>
                <w:color w:val="auto"/>
                <w:sz w:val="24"/>
              </w:rPr>
              <w:br w:type="textWrapping"/>
            </w:r>
            <w:r>
              <w:rPr>
                <w:color w:val="auto"/>
                <w:sz w:val="24"/>
              </w:rPr>
              <w:t>周围环境空气、地表水、地下水、土壤以及环境保护目标影响较小。</w:t>
            </w:r>
            <w:r>
              <w:rPr>
                <w:rFonts w:ascii="宋体" w:hAnsi="宋体" w:cs="宋体"/>
                <w:color w:val="auto"/>
                <w:kern w:val="0"/>
                <w:sz w:val="24"/>
                <w:shd w:val="clear" w:color="auto" w:fill="FFFFFF"/>
              </w:rPr>
              <w:br w:type="textWrapping"/>
            </w:r>
            <w:r>
              <w:rPr>
                <w:b/>
                <w:color w:val="auto"/>
                <w:sz w:val="24"/>
              </w:rPr>
              <w:t>5、地下水及土壤环境</w:t>
            </w:r>
          </w:p>
          <w:p>
            <w:pPr>
              <w:spacing w:line="360" w:lineRule="auto"/>
              <w:rPr>
                <w:b/>
                <w:bCs/>
                <w:color w:val="auto"/>
                <w:sz w:val="24"/>
              </w:rPr>
            </w:pPr>
            <w:r>
              <w:rPr>
                <w:b/>
                <w:bCs/>
                <w:color w:val="auto"/>
                <w:sz w:val="24"/>
              </w:rPr>
              <w:t>5.1污染源分析</w:t>
            </w:r>
          </w:p>
          <w:p>
            <w:pPr>
              <w:spacing w:line="360" w:lineRule="auto"/>
              <w:ind w:firstLine="480" w:firstLineChars="200"/>
              <w:rPr>
                <w:color w:val="auto"/>
                <w:sz w:val="24"/>
              </w:rPr>
            </w:pPr>
            <w:r>
              <w:rPr>
                <w:color w:val="auto"/>
                <w:sz w:val="24"/>
              </w:rPr>
              <w:t>对土壤和地下水的污染类型主要有以下几个方面：</w:t>
            </w:r>
          </w:p>
          <w:p>
            <w:pPr>
              <w:spacing w:line="360" w:lineRule="auto"/>
              <w:ind w:firstLine="480" w:firstLineChars="200"/>
              <w:rPr>
                <w:color w:val="auto"/>
                <w:sz w:val="24"/>
              </w:rPr>
            </w:pPr>
            <w:r>
              <w:rPr>
                <w:color w:val="auto"/>
                <w:sz w:val="24"/>
              </w:rPr>
              <w:t>（1）原料贮存：本项目各类化学品均采用密封桶装贮存，均加盖密闭，基本不会对土壤和地下水造成影响。密封桶使用和迁移过程可能发生泄漏，通过垂直入渗、地面漫流对土壤和地下水造成影响。</w:t>
            </w:r>
          </w:p>
          <w:p>
            <w:pPr>
              <w:spacing w:line="360" w:lineRule="auto"/>
              <w:ind w:firstLine="480" w:firstLineChars="200"/>
              <w:rPr>
                <w:color w:val="auto"/>
                <w:sz w:val="24"/>
              </w:rPr>
            </w:pPr>
            <w:r>
              <w:rPr>
                <w:color w:val="auto"/>
                <w:sz w:val="24"/>
              </w:rPr>
              <w:t>（2）废气排放：大气沉降主要是指建设项目运行过程中，由于有组织或无组织向大气排放污染物，通过一定途径被沉降至地面，对土壤造成影响。本项目排放的主要污染物为非甲烷总烃，产生量极小，对周围环境影响小，不涉及重金属的废气排放，不涉及“持久性有机污染物”，故本项目大气沉降影响可忽略不计。</w:t>
            </w:r>
          </w:p>
          <w:p>
            <w:pPr>
              <w:spacing w:line="360" w:lineRule="auto"/>
              <w:ind w:firstLine="480" w:firstLineChars="200"/>
              <w:rPr>
                <w:color w:val="auto"/>
                <w:sz w:val="24"/>
              </w:rPr>
            </w:pPr>
            <w:r>
              <w:rPr>
                <w:color w:val="auto"/>
                <w:sz w:val="24"/>
              </w:rPr>
              <w:t>（3）废水排放：本项目无生产废水产生，无新增生活污水，故本项目对土壤及地下水的影响可忽略不计。</w:t>
            </w:r>
          </w:p>
          <w:p>
            <w:pPr>
              <w:spacing w:line="360" w:lineRule="auto"/>
              <w:ind w:firstLine="480" w:firstLineChars="200"/>
              <w:rPr>
                <w:color w:val="auto"/>
                <w:sz w:val="24"/>
              </w:rPr>
            </w:pPr>
            <w:r>
              <w:rPr>
                <w:color w:val="auto"/>
                <w:sz w:val="24"/>
              </w:rPr>
              <w:t>（4）固废暂存：本项目危废仓库采取“源头控制、分区防控”的防渗措施，可以有效保证污染物不会进入土壤、地下水环境，防止污染土壤、地下水。危废仓库置于室内，满足四防要求，设置泄漏液体收集装置。</w:t>
            </w:r>
          </w:p>
          <w:p>
            <w:pPr>
              <w:spacing w:line="360" w:lineRule="auto"/>
              <w:ind w:firstLine="482" w:firstLineChars="200"/>
              <w:rPr>
                <w:b/>
                <w:bCs/>
                <w:color w:val="auto"/>
                <w:sz w:val="24"/>
              </w:rPr>
            </w:pPr>
            <w:r>
              <w:rPr>
                <w:b/>
                <w:bCs/>
                <w:color w:val="auto"/>
                <w:sz w:val="24"/>
              </w:rPr>
              <w:t>5.2分区防治措施</w:t>
            </w:r>
          </w:p>
          <w:p>
            <w:pPr>
              <w:spacing w:line="360" w:lineRule="auto"/>
              <w:ind w:firstLine="480" w:firstLineChars="200"/>
              <w:rPr>
                <w:color w:val="auto"/>
                <w:sz w:val="24"/>
              </w:rPr>
            </w:pPr>
            <w:r>
              <w:rPr>
                <w:color w:val="auto"/>
                <w:sz w:val="24"/>
              </w:rPr>
              <w:t>根据建设项目场地天然包气带防污性能、污染控制难易程度和污染物特性，提出相应的防渗技术要求。</w:t>
            </w:r>
          </w:p>
          <w:p>
            <w:pPr>
              <w:spacing w:line="360" w:lineRule="auto"/>
              <w:ind w:firstLine="480" w:firstLineChars="200"/>
              <w:rPr>
                <w:color w:val="auto"/>
                <w:sz w:val="24"/>
              </w:rPr>
            </w:pPr>
            <w:r>
              <w:rPr>
                <w:color w:val="auto"/>
                <w:sz w:val="24"/>
              </w:rPr>
              <w:t>a、建设项目场地的包气带防污性能</w:t>
            </w:r>
          </w:p>
          <w:p>
            <w:pPr>
              <w:spacing w:line="360" w:lineRule="auto"/>
              <w:ind w:firstLine="480" w:firstLineChars="200"/>
              <w:rPr>
                <w:color w:val="auto"/>
                <w:sz w:val="24"/>
              </w:rPr>
            </w:pPr>
            <w:r>
              <w:rPr>
                <w:color w:val="auto"/>
                <w:sz w:val="24"/>
              </w:rPr>
              <w:t>建设项目场地的包气带防污性能按包气带中岩（土）层的分布情况分为强、中、弱三级分级原则见表4-</w:t>
            </w:r>
            <w:r>
              <w:rPr>
                <w:rFonts w:hint="eastAsia"/>
                <w:color w:val="auto"/>
                <w:sz w:val="24"/>
              </w:rPr>
              <w:t>6</w:t>
            </w:r>
            <w:r>
              <w:rPr>
                <w:color w:val="auto"/>
                <w:sz w:val="24"/>
              </w:rPr>
              <w:t>。</w:t>
            </w:r>
          </w:p>
          <w:p>
            <w:pPr>
              <w:jc w:val="center"/>
              <w:rPr>
                <w:b/>
                <w:bCs/>
                <w:color w:val="auto"/>
                <w:szCs w:val="21"/>
              </w:rPr>
            </w:pPr>
            <w:r>
              <w:rPr>
                <w:b/>
                <w:bCs/>
                <w:color w:val="auto"/>
                <w:szCs w:val="21"/>
              </w:rPr>
              <w:t>表4-</w:t>
            </w:r>
            <w:r>
              <w:rPr>
                <w:rFonts w:hint="eastAsia"/>
                <w:b/>
                <w:bCs/>
                <w:color w:val="auto"/>
                <w:szCs w:val="21"/>
              </w:rPr>
              <w:t>6</w:t>
            </w:r>
            <w:r>
              <w:rPr>
                <w:b/>
                <w:bCs/>
                <w:color w:val="auto"/>
                <w:szCs w:val="21"/>
              </w:rPr>
              <w:t>天然包气带防污性能分级参照表</w:t>
            </w:r>
          </w:p>
          <w:tbl>
            <w:tblPr>
              <w:tblStyle w:val="20"/>
              <w:tblW w:w="8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7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6" w:type="dxa"/>
                  <w:vAlign w:val="center"/>
                </w:tcPr>
                <w:p>
                  <w:pPr>
                    <w:spacing w:line="264" w:lineRule="auto"/>
                    <w:jc w:val="center"/>
                    <w:rPr>
                      <w:color w:val="auto"/>
                      <w:szCs w:val="21"/>
                    </w:rPr>
                  </w:pPr>
                  <w:r>
                    <w:rPr>
                      <w:color w:val="auto"/>
                      <w:szCs w:val="21"/>
                    </w:rPr>
                    <w:t>分级</w:t>
                  </w:r>
                </w:p>
              </w:tc>
              <w:tc>
                <w:tcPr>
                  <w:tcW w:w="7593" w:type="dxa"/>
                  <w:vAlign w:val="center"/>
                </w:tcPr>
                <w:p>
                  <w:pPr>
                    <w:spacing w:line="264" w:lineRule="auto"/>
                    <w:jc w:val="center"/>
                    <w:rPr>
                      <w:color w:val="auto"/>
                      <w:szCs w:val="21"/>
                    </w:rPr>
                  </w:pPr>
                  <w:r>
                    <w:rPr>
                      <w:color w:val="auto"/>
                      <w:szCs w:val="21"/>
                    </w:rPr>
                    <w:t>包气带岩土的渗透性能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6" w:type="dxa"/>
                  <w:vAlign w:val="center"/>
                </w:tcPr>
                <w:p>
                  <w:pPr>
                    <w:spacing w:line="264" w:lineRule="auto"/>
                    <w:jc w:val="center"/>
                    <w:rPr>
                      <w:color w:val="auto"/>
                      <w:szCs w:val="21"/>
                    </w:rPr>
                  </w:pPr>
                  <w:r>
                    <w:rPr>
                      <w:color w:val="auto"/>
                      <w:szCs w:val="21"/>
                    </w:rPr>
                    <w:t>强</w:t>
                  </w:r>
                </w:p>
              </w:tc>
              <w:tc>
                <w:tcPr>
                  <w:tcW w:w="7593" w:type="dxa"/>
                  <w:vAlign w:val="center"/>
                </w:tcPr>
                <w:p>
                  <w:pPr>
                    <w:spacing w:line="264" w:lineRule="auto"/>
                    <w:jc w:val="center"/>
                    <w:rPr>
                      <w:color w:val="auto"/>
                      <w:szCs w:val="21"/>
                    </w:rPr>
                  </w:pPr>
                  <w:r>
                    <w:rPr>
                      <w:color w:val="auto"/>
                      <w:szCs w:val="21"/>
                    </w:rPr>
                    <w:t>岩（土）层单层厚度Mb≥1.0m，渗透系数K≤10</w:t>
                  </w:r>
                  <w:r>
                    <w:rPr>
                      <w:color w:val="auto"/>
                      <w:szCs w:val="21"/>
                      <w:vertAlign w:val="superscript"/>
                    </w:rPr>
                    <w:t>-6</w:t>
                  </w:r>
                  <w:r>
                    <w:rPr>
                      <w:color w:val="auto"/>
                      <w:szCs w:val="21"/>
                    </w:rPr>
                    <w:t>cm/s，且分布连续、稳定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706" w:type="dxa"/>
                  <w:vAlign w:val="center"/>
                </w:tcPr>
                <w:p>
                  <w:pPr>
                    <w:spacing w:line="264" w:lineRule="auto"/>
                    <w:jc w:val="center"/>
                    <w:rPr>
                      <w:color w:val="auto"/>
                      <w:szCs w:val="21"/>
                    </w:rPr>
                  </w:pPr>
                  <w:r>
                    <w:rPr>
                      <w:color w:val="auto"/>
                      <w:szCs w:val="21"/>
                    </w:rPr>
                    <w:t>中</w:t>
                  </w:r>
                </w:p>
              </w:tc>
              <w:tc>
                <w:tcPr>
                  <w:tcW w:w="7593" w:type="dxa"/>
                  <w:vAlign w:val="center"/>
                </w:tcPr>
                <w:p>
                  <w:pPr>
                    <w:spacing w:line="264" w:lineRule="auto"/>
                    <w:jc w:val="center"/>
                    <w:rPr>
                      <w:color w:val="auto"/>
                      <w:szCs w:val="21"/>
                    </w:rPr>
                  </w:pPr>
                  <w:r>
                    <w:rPr>
                      <w:color w:val="auto"/>
                      <w:szCs w:val="21"/>
                    </w:rPr>
                    <w:t>岩（土）层单层厚度0.5m≤Mb&lt;1.0m，渗透系数K≤10</w:t>
                  </w:r>
                  <w:r>
                    <w:rPr>
                      <w:color w:val="auto"/>
                      <w:szCs w:val="21"/>
                      <w:vertAlign w:val="superscript"/>
                    </w:rPr>
                    <w:t>-6</w:t>
                  </w:r>
                  <w:r>
                    <w:rPr>
                      <w:color w:val="auto"/>
                      <w:szCs w:val="21"/>
                    </w:rPr>
                    <w:t>cm/s，且分布连续、稳定；岩（土）层单层厚度Mb≥1.0m，渗透系数10</w:t>
                  </w:r>
                  <w:r>
                    <w:rPr>
                      <w:color w:val="auto"/>
                      <w:szCs w:val="21"/>
                      <w:vertAlign w:val="superscript"/>
                    </w:rPr>
                    <w:t>-6</w:t>
                  </w:r>
                  <w:r>
                    <w:rPr>
                      <w:color w:val="auto"/>
                      <w:szCs w:val="21"/>
                    </w:rPr>
                    <w:t>cm/s&lt;K≤10</w:t>
                  </w:r>
                  <w:r>
                    <w:rPr>
                      <w:color w:val="auto"/>
                      <w:szCs w:val="21"/>
                      <w:vertAlign w:val="superscript"/>
                    </w:rPr>
                    <w:t>-4</w:t>
                  </w:r>
                  <w:r>
                    <w:rPr>
                      <w:color w:val="auto"/>
                      <w:szCs w:val="21"/>
                    </w:rPr>
                    <w:t>cm/s，且分布连续、稳定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6" w:type="dxa"/>
                  <w:vAlign w:val="center"/>
                </w:tcPr>
                <w:p>
                  <w:pPr>
                    <w:spacing w:line="264" w:lineRule="auto"/>
                    <w:jc w:val="center"/>
                    <w:rPr>
                      <w:color w:val="auto"/>
                      <w:szCs w:val="21"/>
                    </w:rPr>
                  </w:pPr>
                  <w:r>
                    <w:rPr>
                      <w:color w:val="auto"/>
                      <w:szCs w:val="21"/>
                    </w:rPr>
                    <w:t>弱</w:t>
                  </w:r>
                </w:p>
              </w:tc>
              <w:tc>
                <w:tcPr>
                  <w:tcW w:w="7593" w:type="dxa"/>
                  <w:vAlign w:val="center"/>
                </w:tcPr>
                <w:p>
                  <w:pPr>
                    <w:spacing w:line="264" w:lineRule="auto"/>
                    <w:jc w:val="center"/>
                    <w:rPr>
                      <w:color w:val="auto"/>
                      <w:szCs w:val="21"/>
                    </w:rPr>
                  </w:pPr>
                  <w:r>
                    <w:rPr>
                      <w:color w:val="auto"/>
                      <w:szCs w:val="21"/>
                    </w:rPr>
                    <w:t>岩（土）层不满足上述“强”和“中”条件</w:t>
                  </w:r>
                </w:p>
              </w:tc>
            </w:tr>
          </w:tbl>
          <w:p>
            <w:pPr>
              <w:spacing w:beforeLines="50" w:line="360" w:lineRule="auto"/>
              <w:ind w:firstLine="480" w:firstLineChars="200"/>
              <w:rPr>
                <w:color w:val="auto"/>
                <w:sz w:val="24"/>
              </w:rPr>
            </w:pPr>
            <w:r>
              <w:rPr>
                <w:color w:val="auto"/>
                <w:sz w:val="24"/>
              </w:rPr>
              <w:t>b、污染控制难易程度分级</w:t>
            </w:r>
          </w:p>
          <w:p>
            <w:pPr>
              <w:spacing w:line="360" w:lineRule="auto"/>
              <w:ind w:firstLine="480" w:firstLineChars="200"/>
              <w:rPr>
                <w:color w:val="auto"/>
                <w:sz w:val="24"/>
              </w:rPr>
            </w:pPr>
            <w:r>
              <w:rPr>
                <w:color w:val="auto"/>
                <w:sz w:val="24"/>
              </w:rPr>
              <w:t>污染控制难易程度见下表4-</w:t>
            </w:r>
            <w:r>
              <w:rPr>
                <w:rFonts w:hint="eastAsia"/>
                <w:color w:val="auto"/>
                <w:sz w:val="24"/>
              </w:rPr>
              <w:t>7</w:t>
            </w:r>
            <w:r>
              <w:rPr>
                <w:color w:val="auto"/>
                <w:sz w:val="24"/>
              </w:rPr>
              <w:t>。</w:t>
            </w:r>
          </w:p>
          <w:p>
            <w:pPr>
              <w:jc w:val="center"/>
              <w:rPr>
                <w:b/>
                <w:bCs/>
                <w:color w:val="auto"/>
                <w:szCs w:val="21"/>
              </w:rPr>
            </w:pPr>
            <w:r>
              <w:rPr>
                <w:b/>
                <w:bCs/>
                <w:color w:val="auto"/>
                <w:szCs w:val="21"/>
              </w:rPr>
              <w:t>表4-</w:t>
            </w:r>
            <w:r>
              <w:rPr>
                <w:rFonts w:hint="eastAsia"/>
                <w:b/>
                <w:bCs/>
                <w:color w:val="auto"/>
                <w:szCs w:val="21"/>
              </w:rPr>
              <w:t>7</w:t>
            </w:r>
            <w:r>
              <w:rPr>
                <w:b/>
                <w:bCs/>
                <w:color w:val="auto"/>
                <w:szCs w:val="21"/>
              </w:rPr>
              <w:t>污染控制难易程度分级表</w:t>
            </w:r>
          </w:p>
          <w:tbl>
            <w:tblPr>
              <w:tblStyle w:val="20"/>
              <w:tblW w:w="8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1"/>
              <w:gridCol w:w="6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41" w:type="dxa"/>
                  <w:vAlign w:val="center"/>
                </w:tcPr>
                <w:p>
                  <w:pPr>
                    <w:spacing w:line="264" w:lineRule="auto"/>
                    <w:jc w:val="center"/>
                    <w:rPr>
                      <w:color w:val="auto"/>
                      <w:szCs w:val="21"/>
                    </w:rPr>
                  </w:pPr>
                  <w:r>
                    <w:rPr>
                      <w:color w:val="auto"/>
                      <w:szCs w:val="21"/>
                    </w:rPr>
                    <w:t>污染控制难易程度</w:t>
                  </w:r>
                </w:p>
              </w:tc>
              <w:tc>
                <w:tcPr>
                  <w:tcW w:w="6360" w:type="dxa"/>
                  <w:vAlign w:val="center"/>
                </w:tcPr>
                <w:p>
                  <w:pPr>
                    <w:spacing w:line="264" w:lineRule="auto"/>
                    <w:jc w:val="center"/>
                    <w:rPr>
                      <w:color w:val="auto"/>
                      <w:szCs w:val="21"/>
                    </w:rPr>
                  </w:pPr>
                  <w:r>
                    <w:rPr>
                      <w:color w:val="auto"/>
                      <w:szCs w:val="21"/>
                    </w:rPr>
                    <w:t>主要特征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41" w:type="dxa"/>
                  <w:vAlign w:val="center"/>
                </w:tcPr>
                <w:p>
                  <w:pPr>
                    <w:spacing w:line="264" w:lineRule="auto"/>
                    <w:jc w:val="center"/>
                    <w:rPr>
                      <w:color w:val="auto"/>
                      <w:szCs w:val="21"/>
                    </w:rPr>
                  </w:pPr>
                  <w:r>
                    <w:rPr>
                      <w:color w:val="auto"/>
                      <w:szCs w:val="21"/>
                    </w:rPr>
                    <w:t>难</w:t>
                  </w:r>
                </w:p>
              </w:tc>
              <w:tc>
                <w:tcPr>
                  <w:tcW w:w="6360" w:type="dxa"/>
                  <w:vAlign w:val="center"/>
                </w:tcPr>
                <w:p>
                  <w:pPr>
                    <w:spacing w:line="264" w:lineRule="auto"/>
                    <w:jc w:val="center"/>
                    <w:rPr>
                      <w:color w:val="auto"/>
                      <w:szCs w:val="21"/>
                    </w:rPr>
                  </w:pPr>
                  <w:r>
                    <w:rPr>
                      <w:color w:val="auto"/>
                      <w:szCs w:val="21"/>
                    </w:rPr>
                    <w:t>对地下水环境有污染的物料或污染物泄漏后，不能及时发现和处理。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41" w:type="dxa"/>
                  <w:vAlign w:val="center"/>
                </w:tcPr>
                <w:p>
                  <w:pPr>
                    <w:spacing w:line="264" w:lineRule="auto"/>
                    <w:jc w:val="center"/>
                    <w:rPr>
                      <w:color w:val="auto"/>
                      <w:szCs w:val="21"/>
                    </w:rPr>
                  </w:pPr>
                  <w:r>
                    <w:rPr>
                      <w:color w:val="auto"/>
                      <w:szCs w:val="21"/>
                    </w:rPr>
                    <w:t>易</w:t>
                  </w:r>
                </w:p>
              </w:tc>
              <w:tc>
                <w:tcPr>
                  <w:tcW w:w="6360" w:type="dxa"/>
                  <w:vAlign w:val="center"/>
                </w:tcPr>
                <w:p>
                  <w:pPr>
                    <w:spacing w:line="264" w:lineRule="auto"/>
                    <w:jc w:val="center"/>
                    <w:rPr>
                      <w:color w:val="auto"/>
                      <w:szCs w:val="21"/>
                    </w:rPr>
                  </w:pPr>
                  <w:r>
                    <w:rPr>
                      <w:color w:val="auto"/>
                      <w:szCs w:val="21"/>
                    </w:rPr>
                    <w:t>对地下水环境有污染的物料或污染物泄漏后，可及时发现和处理。</w:t>
                  </w:r>
                </w:p>
              </w:tc>
            </w:tr>
          </w:tbl>
          <w:p>
            <w:pPr>
              <w:spacing w:beforeLines="50" w:line="360" w:lineRule="auto"/>
              <w:ind w:firstLine="720" w:firstLineChars="300"/>
              <w:rPr>
                <w:b/>
                <w:bCs/>
                <w:color w:val="auto"/>
                <w:sz w:val="24"/>
              </w:rPr>
            </w:pPr>
            <w:r>
              <w:rPr>
                <w:color w:val="auto"/>
                <w:sz w:val="24"/>
              </w:rPr>
              <w:t>防渗处理是防止地下水污染的重要环保保护措施，污染防渗分区表见表4-</w:t>
            </w:r>
            <w:r>
              <w:rPr>
                <w:rFonts w:hint="eastAsia"/>
                <w:color w:val="auto"/>
                <w:sz w:val="24"/>
              </w:rPr>
              <w:t>8</w:t>
            </w:r>
            <w:r>
              <w:rPr>
                <w:color w:val="auto"/>
                <w:sz w:val="24"/>
              </w:rPr>
              <w:t>。结合本项目区域水文地质情况及项目特点，本项目土壤、地下水污染防治分区见表4-</w:t>
            </w:r>
            <w:r>
              <w:rPr>
                <w:rFonts w:hint="eastAsia"/>
                <w:color w:val="auto"/>
                <w:sz w:val="24"/>
              </w:rPr>
              <w:t>9</w:t>
            </w:r>
            <w:r>
              <w:rPr>
                <w:color w:val="auto"/>
                <w:sz w:val="24"/>
              </w:rPr>
              <w:t>。</w:t>
            </w:r>
          </w:p>
          <w:p>
            <w:pPr>
              <w:jc w:val="center"/>
              <w:rPr>
                <w:b/>
                <w:bCs/>
                <w:color w:val="auto"/>
                <w:szCs w:val="21"/>
              </w:rPr>
            </w:pPr>
            <w:r>
              <w:rPr>
                <w:b/>
                <w:bCs/>
                <w:color w:val="auto"/>
                <w:szCs w:val="21"/>
              </w:rPr>
              <w:t>表4-</w:t>
            </w:r>
            <w:r>
              <w:rPr>
                <w:rFonts w:hint="eastAsia"/>
                <w:b/>
                <w:bCs/>
                <w:color w:val="auto"/>
                <w:szCs w:val="21"/>
              </w:rPr>
              <w:t>8</w:t>
            </w:r>
            <w:r>
              <w:rPr>
                <w:b/>
                <w:bCs/>
                <w:color w:val="auto"/>
                <w:szCs w:val="21"/>
              </w:rPr>
              <w:t>地下水污染防渗分区参照表</w:t>
            </w:r>
          </w:p>
          <w:tbl>
            <w:tblPr>
              <w:tblStyle w:val="20"/>
              <w:tblW w:w="8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1349"/>
              <w:gridCol w:w="1215"/>
              <w:gridCol w:w="1605"/>
              <w:gridCol w:w="2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Align w:val="center"/>
                </w:tcPr>
                <w:p>
                  <w:pPr>
                    <w:widowControl/>
                    <w:kinsoku w:val="0"/>
                    <w:autoSpaceDE w:val="0"/>
                    <w:autoSpaceDN w:val="0"/>
                    <w:spacing w:line="264" w:lineRule="auto"/>
                    <w:jc w:val="center"/>
                    <w:textAlignment w:val="baseline"/>
                    <w:rPr>
                      <w:color w:val="auto"/>
                      <w:szCs w:val="21"/>
                    </w:rPr>
                  </w:pPr>
                  <w:r>
                    <w:rPr>
                      <w:color w:val="auto"/>
                      <w:szCs w:val="21"/>
                    </w:rPr>
                    <w:t>防渗区域</w:t>
                  </w: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天然包气带防污性能</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污染控制难易程度</w:t>
                  </w:r>
                </w:p>
              </w:tc>
              <w:tc>
                <w:tcPr>
                  <w:tcW w:w="1605" w:type="dxa"/>
                  <w:vAlign w:val="center"/>
                </w:tcPr>
                <w:p>
                  <w:pPr>
                    <w:widowControl/>
                    <w:kinsoku w:val="0"/>
                    <w:autoSpaceDE w:val="0"/>
                    <w:autoSpaceDN w:val="0"/>
                    <w:spacing w:line="264" w:lineRule="auto"/>
                    <w:jc w:val="center"/>
                    <w:textAlignment w:val="baseline"/>
                    <w:rPr>
                      <w:color w:val="auto"/>
                      <w:szCs w:val="21"/>
                    </w:rPr>
                  </w:pPr>
                  <w:r>
                    <w:rPr>
                      <w:color w:val="auto"/>
                      <w:szCs w:val="21"/>
                    </w:rPr>
                    <w:t>污染物类型</w:t>
                  </w:r>
                </w:p>
              </w:tc>
              <w:tc>
                <w:tcPr>
                  <w:tcW w:w="2639" w:type="dxa"/>
                  <w:vAlign w:val="center"/>
                </w:tcPr>
                <w:p>
                  <w:pPr>
                    <w:widowControl/>
                    <w:kinsoku w:val="0"/>
                    <w:autoSpaceDE w:val="0"/>
                    <w:autoSpaceDN w:val="0"/>
                    <w:spacing w:line="264" w:lineRule="auto"/>
                    <w:jc w:val="center"/>
                    <w:textAlignment w:val="baseline"/>
                    <w:rPr>
                      <w:color w:val="auto"/>
                      <w:szCs w:val="21"/>
                    </w:rPr>
                  </w:pPr>
                  <w:r>
                    <w:rPr>
                      <w:color w:val="auto"/>
                      <w:szCs w:val="21"/>
                    </w:rPr>
                    <w:t>污染防渗技术要求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Merge w:val="restart"/>
                  <w:vAlign w:val="center"/>
                </w:tcPr>
                <w:p>
                  <w:pPr>
                    <w:widowControl/>
                    <w:kinsoku w:val="0"/>
                    <w:autoSpaceDE w:val="0"/>
                    <w:autoSpaceDN w:val="0"/>
                    <w:spacing w:line="264" w:lineRule="auto"/>
                    <w:jc w:val="center"/>
                    <w:textAlignment w:val="baseline"/>
                    <w:rPr>
                      <w:color w:val="auto"/>
                      <w:szCs w:val="21"/>
                    </w:rPr>
                  </w:pPr>
                  <w:r>
                    <w:rPr>
                      <w:color w:val="auto"/>
                      <w:szCs w:val="21"/>
                    </w:rPr>
                    <w:t>重点防渗区</w:t>
                  </w: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弱</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难</w:t>
                  </w:r>
                </w:p>
              </w:tc>
              <w:tc>
                <w:tcPr>
                  <w:tcW w:w="1605" w:type="dxa"/>
                  <w:vMerge w:val="restart"/>
                  <w:vAlign w:val="center"/>
                </w:tcPr>
                <w:p>
                  <w:pPr>
                    <w:widowControl/>
                    <w:kinsoku w:val="0"/>
                    <w:autoSpaceDE w:val="0"/>
                    <w:autoSpaceDN w:val="0"/>
                    <w:spacing w:line="264" w:lineRule="auto"/>
                    <w:jc w:val="center"/>
                    <w:textAlignment w:val="baseline"/>
                    <w:rPr>
                      <w:color w:val="auto"/>
                      <w:szCs w:val="21"/>
                    </w:rPr>
                  </w:pPr>
                  <w:r>
                    <w:rPr>
                      <w:color w:val="auto"/>
                      <w:szCs w:val="21"/>
                    </w:rPr>
                    <w:t>重金属、持久性有机污染物</w:t>
                  </w:r>
                </w:p>
              </w:tc>
              <w:tc>
                <w:tcPr>
                  <w:tcW w:w="2639" w:type="dxa"/>
                  <w:vMerge w:val="restart"/>
                  <w:vAlign w:val="center"/>
                </w:tcPr>
                <w:p>
                  <w:pPr>
                    <w:widowControl/>
                    <w:kinsoku w:val="0"/>
                    <w:autoSpaceDE w:val="0"/>
                    <w:autoSpaceDN w:val="0"/>
                    <w:spacing w:line="264" w:lineRule="auto"/>
                    <w:jc w:val="center"/>
                    <w:textAlignment w:val="baseline"/>
                    <w:rPr>
                      <w:color w:val="auto"/>
                      <w:szCs w:val="21"/>
                    </w:rPr>
                  </w:pPr>
                  <w:r>
                    <w:rPr>
                      <w:color w:val="auto"/>
                      <w:szCs w:val="21"/>
                    </w:rPr>
                    <w:t>等效粘土防渗层Mb≥6.0m，K≤1*10</w:t>
                  </w:r>
                  <w:r>
                    <w:rPr>
                      <w:color w:val="auto"/>
                      <w:szCs w:val="21"/>
                      <w:vertAlign w:val="superscript"/>
                    </w:rPr>
                    <w:t>-7</w:t>
                  </w:r>
                  <w:r>
                    <w:rPr>
                      <w:color w:val="auto"/>
                      <w:szCs w:val="21"/>
                    </w:rPr>
                    <w:t>cm/s或参考GB18598执行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Merge w:val="continue"/>
                  <w:vAlign w:val="center"/>
                </w:tcPr>
                <w:p>
                  <w:pPr>
                    <w:widowControl/>
                    <w:kinsoku w:val="0"/>
                    <w:autoSpaceDE w:val="0"/>
                    <w:autoSpaceDN w:val="0"/>
                    <w:spacing w:line="264" w:lineRule="auto"/>
                    <w:jc w:val="center"/>
                    <w:textAlignment w:val="baseline"/>
                    <w:rPr>
                      <w:color w:val="auto"/>
                      <w:szCs w:val="21"/>
                    </w:rPr>
                  </w:pP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中-强</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难</w:t>
                  </w:r>
                </w:p>
              </w:tc>
              <w:tc>
                <w:tcPr>
                  <w:tcW w:w="1605" w:type="dxa"/>
                  <w:vMerge w:val="continue"/>
                  <w:vAlign w:val="center"/>
                </w:tcPr>
                <w:p>
                  <w:pPr>
                    <w:widowControl/>
                    <w:kinsoku w:val="0"/>
                    <w:autoSpaceDE w:val="0"/>
                    <w:autoSpaceDN w:val="0"/>
                    <w:spacing w:line="264" w:lineRule="auto"/>
                    <w:jc w:val="center"/>
                    <w:textAlignment w:val="baseline"/>
                    <w:rPr>
                      <w:color w:val="auto"/>
                      <w:szCs w:val="21"/>
                    </w:rPr>
                  </w:pPr>
                </w:p>
              </w:tc>
              <w:tc>
                <w:tcPr>
                  <w:tcW w:w="2639" w:type="dxa"/>
                  <w:vMerge w:val="continue"/>
                  <w:vAlign w:val="center"/>
                </w:tcPr>
                <w:p>
                  <w:pPr>
                    <w:widowControl/>
                    <w:kinsoku w:val="0"/>
                    <w:autoSpaceDE w:val="0"/>
                    <w:autoSpaceDN w:val="0"/>
                    <w:spacing w:line="264" w:lineRule="auto"/>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Merge w:val="continue"/>
                  <w:vAlign w:val="center"/>
                </w:tcPr>
                <w:p>
                  <w:pPr>
                    <w:widowControl/>
                    <w:kinsoku w:val="0"/>
                    <w:autoSpaceDE w:val="0"/>
                    <w:autoSpaceDN w:val="0"/>
                    <w:spacing w:line="264" w:lineRule="auto"/>
                    <w:jc w:val="center"/>
                    <w:textAlignment w:val="baseline"/>
                    <w:rPr>
                      <w:color w:val="auto"/>
                      <w:szCs w:val="21"/>
                    </w:rPr>
                  </w:pP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弱</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易</w:t>
                  </w:r>
                </w:p>
              </w:tc>
              <w:tc>
                <w:tcPr>
                  <w:tcW w:w="1605" w:type="dxa"/>
                  <w:vMerge w:val="continue"/>
                  <w:vAlign w:val="center"/>
                </w:tcPr>
                <w:p>
                  <w:pPr>
                    <w:widowControl/>
                    <w:kinsoku w:val="0"/>
                    <w:autoSpaceDE w:val="0"/>
                    <w:autoSpaceDN w:val="0"/>
                    <w:spacing w:line="264" w:lineRule="auto"/>
                    <w:jc w:val="center"/>
                    <w:textAlignment w:val="baseline"/>
                    <w:rPr>
                      <w:color w:val="auto"/>
                      <w:szCs w:val="21"/>
                    </w:rPr>
                  </w:pPr>
                </w:p>
              </w:tc>
              <w:tc>
                <w:tcPr>
                  <w:tcW w:w="2639" w:type="dxa"/>
                  <w:vMerge w:val="continue"/>
                  <w:vAlign w:val="center"/>
                </w:tcPr>
                <w:p>
                  <w:pPr>
                    <w:widowControl/>
                    <w:kinsoku w:val="0"/>
                    <w:autoSpaceDE w:val="0"/>
                    <w:autoSpaceDN w:val="0"/>
                    <w:spacing w:line="264" w:lineRule="auto"/>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Merge w:val="restart"/>
                  <w:vAlign w:val="center"/>
                </w:tcPr>
                <w:p>
                  <w:pPr>
                    <w:widowControl/>
                    <w:kinsoku w:val="0"/>
                    <w:autoSpaceDE w:val="0"/>
                    <w:autoSpaceDN w:val="0"/>
                    <w:spacing w:line="264" w:lineRule="auto"/>
                    <w:jc w:val="center"/>
                    <w:textAlignment w:val="baseline"/>
                    <w:rPr>
                      <w:color w:val="auto"/>
                      <w:szCs w:val="21"/>
                    </w:rPr>
                  </w:pPr>
                  <w:r>
                    <w:rPr>
                      <w:color w:val="auto"/>
                      <w:szCs w:val="21"/>
                    </w:rPr>
                    <w:t>一般防渗区</w:t>
                  </w: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弱</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易-难</w:t>
                  </w:r>
                </w:p>
              </w:tc>
              <w:tc>
                <w:tcPr>
                  <w:tcW w:w="1605" w:type="dxa"/>
                  <w:vMerge w:val="restart"/>
                  <w:vAlign w:val="center"/>
                </w:tcPr>
                <w:p>
                  <w:pPr>
                    <w:widowControl/>
                    <w:kinsoku w:val="0"/>
                    <w:autoSpaceDE w:val="0"/>
                    <w:autoSpaceDN w:val="0"/>
                    <w:spacing w:line="264" w:lineRule="auto"/>
                    <w:jc w:val="center"/>
                    <w:textAlignment w:val="baseline"/>
                    <w:rPr>
                      <w:color w:val="auto"/>
                      <w:szCs w:val="21"/>
                    </w:rPr>
                  </w:pPr>
                  <w:r>
                    <w:rPr>
                      <w:color w:val="auto"/>
                      <w:szCs w:val="21"/>
                    </w:rPr>
                    <w:t>其他类型</w:t>
                  </w:r>
                </w:p>
              </w:tc>
              <w:tc>
                <w:tcPr>
                  <w:tcW w:w="2639" w:type="dxa"/>
                  <w:vMerge w:val="restart"/>
                  <w:vAlign w:val="center"/>
                </w:tcPr>
                <w:p>
                  <w:pPr>
                    <w:widowControl/>
                    <w:kinsoku w:val="0"/>
                    <w:autoSpaceDE w:val="0"/>
                    <w:autoSpaceDN w:val="0"/>
                    <w:spacing w:line="264" w:lineRule="auto"/>
                    <w:jc w:val="center"/>
                    <w:textAlignment w:val="baseline"/>
                    <w:rPr>
                      <w:color w:val="auto"/>
                      <w:szCs w:val="21"/>
                    </w:rPr>
                  </w:pPr>
                  <w:r>
                    <w:rPr>
                      <w:color w:val="auto"/>
                      <w:szCs w:val="21"/>
                    </w:rPr>
                    <w:t>等效粘土防渗层Mb≥1.5m，K≤1*10</w:t>
                  </w:r>
                  <w:r>
                    <w:rPr>
                      <w:color w:val="auto"/>
                      <w:szCs w:val="21"/>
                      <w:vertAlign w:val="superscript"/>
                    </w:rPr>
                    <w:t>-7</w:t>
                  </w:r>
                  <w:r>
                    <w:rPr>
                      <w:color w:val="auto"/>
                      <w:szCs w:val="21"/>
                    </w:rPr>
                    <w:t>cm/s或参考GB16889执行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Merge w:val="continue"/>
                  <w:vAlign w:val="center"/>
                </w:tcPr>
                <w:p>
                  <w:pPr>
                    <w:widowControl/>
                    <w:kinsoku w:val="0"/>
                    <w:autoSpaceDE w:val="0"/>
                    <w:autoSpaceDN w:val="0"/>
                    <w:spacing w:line="264" w:lineRule="auto"/>
                    <w:jc w:val="center"/>
                    <w:textAlignment w:val="baseline"/>
                    <w:rPr>
                      <w:color w:val="auto"/>
                      <w:szCs w:val="21"/>
                    </w:rPr>
                  </w:pP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中-强</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难</w:t>
                  </w:r>
                </w:p>
              </w:tc>
              <w:tc>
                <w:tcPr>
                  <w:tcW w:w="1605" w:type="dxa"/>
                  <w:vMerge w:val="continue"/>
                  <w:vAlign w:val="center"/>
                </w:tcPr>
                <w:p>
                  <w:pPr>
                    <w:widowControl/>
                    <w:kinsoku w:val="0"/>
                    <w:autoSpaceDE w:val="0"/>
                    <w:autoSpaceDN w:val="0"/>
                    <w:spacing w:line="264" w:lineRule="auto"/>
                    <w:jc w:val="center"/>
                    <w:textAlignment w:val="baseline"/>
                    <w:rPr>
                      <w:color w:val="auto"/>
                      <w:szCs w:val="21"/>
                    </w:rPr>
                  </w:pPr>
                </w:p>
              </w:tc>
              <w:tc>
                <w:tcPr>
                  <w:tcW w:w="2639" w:type="dxa"/>
                  <w:vMerge w:val="continue"/>
                  <w:vAlign w:val="center"/>
                </w:tcPr>
                <w:p>
                  <w:pPr>
                    <w:widowControl/>
                    <w:kinsoku w:val="0"/>
                    <w:autoSpaceDE w:val="0"/>
                    <w:autoSpaceDN w:val="0"/>
                    <w:spacing w:line="264" w:lineRule="auto"/>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Merge w:val="continue"/>
                  <w:vAlign w:val="center"/>
                </w:tcPr>
                <w:p>
                  <w:pPr>
                    <w:widowControl/>
                    <w:kinsoku w:val="0"/>
                    <w:autoSpaceDE w:val="0"/>
                    <w:autoSpaceDN w:val="0"/>
                    <w:spacing w:line="264" w:lineRule="auto"/>
                    <w:jc w:val="center"/>
                    <w:textAlignment w:val="baseline"/>
                    <w:rPr>
                      <w:color w:val="auto"/>
                      <w:szCs w:val="21"/>
                    </w:rPr>
                  </w:pP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中</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易</w:t>
                  </w:r>
                </w:p>
              </w:tc>
              <w:tc>
                <w:tcPr>
                  <w:tcW w:w="1605" w:type="dxa"/>
                  <w:vMerge w:val="restart"/>
                  <w:vAlign w:val="center"/>
                </w:tcPr>
                <w:p>
                  <w:pPr>
                    <w:widowControl/>
                    <w:kinsoku w:val="0"/>
                    <w:autoSpaceDE w:val="0"/>
                    <w:autoSpaceDN w:val="0"/>
                    <w:spacing w:line="264" w:lineRule="auto"/>
                    <w:jc w:val="center"/>
                    <w:textAlignment w:val="baseline"/>
                    <w:rPr>
                      <w:color w:val="auto"/>
                      <w:szCs w:val="21"/>
                    </w:rPr>
                  </w:pPr>
                  <w:r>
                    <w:rPr>
                      <w:color w:val="auto"/>
                      <w:szCs w:val="21"/>
                    </w:rPr>
                    <w:t>重金属、持久性有机污染物</w:t>
                  </w:r>
                </w:p>
              </w:tc>
              <w:tc>
                <w:tcPr>
                  <w:tcW w:w="2639" w:type="dxa"/>
                  <w:vMerge w:val="continue"/>
                  <w:vAlign w:val="center"/>
                </w:tcPr>
                <w:p>
                  <w:pPr>
                    <w:widowControl/>
                    <w:kinsoku w:val="0"/>
                    <w:autoSpaceDE w:val="0"/>
                    <w:autoSpaceDN w:val="0"/>
                    <w:spacing w:line="264" w:lineRule="auto"/>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Merge w:val="continue"/>
                  <w:vAlign w:val="center"/>
                </w:tcPr>
                <w:p>
                  <w:pPr>
                    <w:widowControl/>
                    <w:kinsoku w:val="0"/>
                    <w:autoSpaceDE w:val="0"/>
                    <w:autoSpaceDN w:val="0"/>
                    <w:spacing w:line="264" w:lineRule="auto"/>
                    <w:jc w:val="center"/>
                    <w:textAlignment w:val="baseline"/>
                    <w:rPr>
                      <w:color w:val="auto"/>
                      <w:szCs w:val="21"/>
                    </w:rPr>
                  </w:pP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强</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易</w:t>
                  </w:r>
                </w:p>
              </w:tc>
              <w:tc>
                <w:tcPr>
                  <w:tcW w:w="1605" w:type="dxa"/>
                  <w:vMerge w:val="continue"/>
                  <w:vAlign w:val="center"/>
                </w:tcPr>
                <w:p>
                  <w:pPr>
                    <w:widowControl/>
                    <w:kinsoku w:val="0"/>
                    <w:autoSpaceDE w:val="0"/>
                    <w:autoSpaceDN w:val="0"/>
                    <w:spacing w:line="264" w:lineRule="auto"/>
                    <w:jc w:val="center"/>
                    <w:textAlignment w:val="baseline"/>
                    <w:rPr>
                      <w:color w:val="auto"/>
                      <w:szCs w:val="21"/>
                    </w:rPr>
                  </w:pPr>
                </w:p>
              </w:tc>
              <w:tc>
                <w:tcPr>
                  <w:tcW w:w="2639" w:type="dxa"/>
                  <w:vMerge w:val="continue"/>
                  <w:vAlign w:val="center"/>
                </w:tcPr>
                <w:p>
                  <w:pPr>
                    <w:widowControl/>
                    <w:kinsoku w:val="0"/>
                    <w:autoSpaceDE w:val="0"/>
                    <w:autoSpaceDN w:val="0"/>
                    <w:spacing w:line="264" w:lineRule="auto"/>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0" w:type="dxa"/>
                  <w:vAlign w:val="center"/>
                </w:tcPr>
                <w:p>
                  <w:pPr>
                    <w:widowControl/>
                    <w:kinsoku w:val="0"/>
                    <w:autoSpaceDE w:val="0"/>
                    <w:autoSpaceDN w:val="0"/>
                    <w:spacing w:line="264" w:lineRule="auto"/>
                    <w:jc w:val="center"/>
                    <w:textAlignment w:val="baseline"/>
                    <w:rPr>
                      <w:color w:val="auto"/>
                      <w:szCs w:val="21"/>
                    </w:rPr>
                  </w:pPr>
                  <w:r>
                    <w:rPr>
                      <w:color w:val="auto"/>
                      <w:szCs w:val="21"/>
                    </w:rPr>
                    <w:t>简单防渗区</w:t>
                  </w:r>
                </w:p>
              </w:tc>
              <w:tc>
                <w:tcPr>
                  <w:tcW w:w="1349" w:type="dxa"/>
                  <w:vAlign w:val="center"/>
                </w:tcPr>
                <w:p>
                  <w:pPr>
                    <w:widowControl/>
                    <w:kinsoku w:val="0"/>
                    <w:autoSpaceDE w:val="0"/>
                    <w:autoSpaceDN w:val="0"/>
                    <w:spacing w:line="264" w:lineRule="auto"/>
                    <w:jc w:val="center"/>
                    <w:textAlignment w:val="baseline"/>
                    <w:rPr>
                      <w:color w:val="auto"/>
                      <w:szCs w:val="21"/>
                    </w:rPr>
                  </w:pPr>
                  <w:r>
                    <w:rPr>
                      <w:color w:val="auto"/>
                      <w:szCs w:val="21"/>
                    </w:rPr>
                    <w:t>中-强</w:t>
                  </w:r>
                </w:p>
              </w:tc>
              <w:tc>
                <w:tcPr>
                  <w:tcW w:w="1215" w:type="dxa"/>
                  <w:vAlign w:val="center"/>
                </w:tcPr>
                <w:p>
                  <w:pPr>
                    <w:widowControl/>
                    <w:kinsoku w:val="0"/>
                    <w:autoSpaceDE w:val="0"/>
                    <w:autoSpaceDN w:val="0"/>
                    <w:spacing w:line="264" w:lineRule="auto"/>
                    <w:jc w:val="center"/>
                    <w:textAlignment w:val="baseline"/>
                    <w:rPr>
                      <w:color w:val="auto"/>
                      <w:szCs w:val="21"/>
                    </w:rPr>
                  </w:pPr>
                  <w:r>
                    <w:rPr>
                      <w:color w:val="auto"/>
                      <w:szCs w:val="21"/>
                    </w:rPr>
                    <w:t>易</w:t>
                  </w:r>
                </w:p>
              </w:tc>
              <w:tc>
                <w:tcPr>
                  <w:tcW w:w="1605" w:type="dxa"/>
                  <w:vAlign w:val="center"/>
                </w:tcPr>
                <w:p>
                  <w:pPr>
                    <w:widowControl/>
                    <w:kinsoku w:val="0"/>
                    <w:autoSpaceDE w:val="0"/>
                    <w:autoSpaceDN w:val="0"/>
                    <w:spacing w:line="264" w:lineRule="auto"/>
                    <w:jc w:val="center"/>
                    <w:textAlignment w:val="baseline"/>
                    <w:rPr>
                      <w:color w:val="auto"/>
                      <w:szCs w:val="21"/>
                    </w:rPr>
                  </w:pPr>
                  <w:r>
                    <w:rPr>
                      <w:color w:val="auto"/>
                      <w:szCs w:val="21"/>
                    </w:rPr>
                    <w:t>其他类型</w:t>
                  </w:r>
                </w:p>
              </w:tc>
              <w:tc>
                <w:tcPr>
                  <w:tcW w:w="2639" w:type="dxa"/>
                  <w:vAlign w:val="center"/>
                </w:tcPr>
                <w:p>
                  <w:pPr>
                    <w:widowControl/>
                    <w:kinsoku w:val="0"/>
                    <w:autoSpaceDE w:val="0"/>
                    <w:autoSpaceDN w:val="0"/>
                    <w:spacing w:line="264" w:lineRule="auto"/>
                    <w:jc w:val="center"/>
                    <w:textAlignment w:val="baseline"/>
                    <w:rPr>
                      <w:color w:val="auto"/>
                      <w:szCs w:val="21"/>
                    </w:rPr>
                  </w:pPr>
                  <w:r>
                    <w:rPr>
                      <w:color w:val="auto"/>
                      <w:szCs w:val="21"/>
                    </w:rPr>
                    <w:t>一般地面硬化</w:t>
                  </w:r>
                </w:p>
              </w:tc>
            </w:tr>
          </w:tbl>
          <w:p>
            <w:pPr>
              <w:jc w:val="center"/>
              <w:rPr>
                <w:b/>
                <w:bCs/>
                <w:color w:val="auto"/>
                <w:szCs w:val="21"/>
              </w:rPr>
            </w:pPr>
            <w:r>
              <w:rPr>
                <w:b/>
                <w:bCs/>
                <w:color w:val="auto"/>
                <w:szCs w:val="21"/>
              </w:rPr>
              <w:t>表4-</w:t>
            </w:r>
            <w:r>
              <w:rPr>
                <w:rFonts w:hint="eastAsia"/>
                <w:b/>
                <w:bCs/>
                <w:color w:val="auto"/>
                <w:szCs w:val="21"/>
              </w:rPr>
              <w:t>9</w:t>
            </w:r>
            <w:r>
              <w:rPr>
                <w:b/>
                <w:bCs/>
                <w:color w:val="auto"/>
                <w:szCs w:val="21"/>
              </w:rPr>
              <w:t>地下水污染防治分区</w:t>
            </w:r>
          </w:p>
          <w:tbl>
            <w:tblPr>
              <w:tblStyle w:val="20"/>
              <w:tblW w:w="8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128"/>
              <w:gridCol w:w="1572"/>
              <w:gridCol w:w="1628"/>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5" w:type="dxa"/>
                  <w:vAlign w:val="center"/>
                </w:tcPr>
                <w:p>
                  <w:pPr>
                    <w:widowControl/>
                    <w:kinsoku w:val="0"/>
                    <w:autoSpaceDE w:val="0"/>
                    <w:autoSpaceDN w:val="0"/>
                    <w:spacing w:line="264" w:lineRule="auto"/>
                    <w:jc w:val="center"/>
                    <w:textAlignment w:val="baseline"/>
                    <w:rPr>
                      <w:color w:val="auto"/>
                      <w:szCs w:val="21"/>
                    </w:rPr>
                  </w:pPr>
                  <w:r>
                    <w:rPr>
                      <w:color w:val="auto"/>
                      <w:szCs w:val="21"/>
                    </w:rPr>
                    <w:t>编号</w:t>
                  </w:r>
                </w:p>
              </w:tc>
              <w:tc>
                <w:tcPr>
                  <w:tcW w:w="2128" w:type="dxa"/>
                  <w:vAlign w:val="center"/>
                </w:tcPr>
                <w:p>
                  <w:pPr>
                    <w:widowControl/>
                    <w:kinsoku w:val="0"/>
                    <w:autoSpaceDE w:val="0"/>
                    <w:autoSpaceDN w:val="0"/>
                    <w:spacing w:line="264" w:lineRule="auto"/>
                    <w:jc w:val="center"/>
                    <w:textAlignment w:val="baseline"/>
                    <w:rPr>
                      <w:color w:val="auto"/>
                      <w:szCs w:val="21"/>
                    </w:rPr>
                  </w:pPr>
                  <w:r>
                    <w:rPr>
                      <w:color w:val="auto"/>
                      <w:szCs w:val="21"/>
                    </w:rPr>
                    <w:t>单元名称</w:t>
                  </w:r>
                </w:p>
              </w:tc>
              <w:tc>
                <w:tcPr>
                  <w:tcW w:w="1572" w:type="dxa"/>
                  <w:vAlign w:val="center"/>
                </w:tcPr>
                <w:p>
                  <w:pPr>
                    <w:widowControl/>
                    <w:kinsoku w:val="0"/>
                    <w:autoSpaceDE w:val="0"/>
                    <w:autoSpaceDN w:val="0"/>
                    <w:spacing w:line="264" w:lineRule="auto"/>
                    <w:jc w:val="center"/>
                    <w:textAlignment w:val="baseline"/>
                    <w:rPr>
                      <w:color w:val="auto"/>
                      <w:szCs w:val="21"/>
                    </w:rPr>
                  </w:pPr>
                  <w:r>
                    <w:rPr>
                      <w:color w:val="auto"/>
                      <w:szCs w:val="21"/>
                    </w:rPr>
                    <w:t>污染物类型</w:t>
                  </w:r>
                </w:p>
              </w:tc>
              <w:tc>
                <w:tcPr>
                  <w:tcW w:w="1628" w:type="dxa"/>
                  <w:vAlign w:val="center"/>
                </w:tcPr>
                <w:p>
                  <w:pPr>
                    <w:widowControl/>
                    <w:kinsoku w:val="0"/>
                    <w:autoSpaceDE w:val="0"/>
                    <w:autoSpaceDN w:val="0"/>
                    <w:spacing w:line="264" w:lineRule="auto"/>
                    <w:jc w:val="center"/>
                    <w:textAlignment w:val="baseline"/>
                    <w:rPr>
                      <w:color w:val="auto"/>
                      <w:szCs w:val="21"/>
                    </w:rPr>
                  </w:pPr>
                  <w:r>
                    <w:rPr>
                      <w:color w:val="auto"/>
                      <w:szCs w:val="21"/>
                    </w:rPr>
                    <w:t>污染防治类别</w:t>
                  </w:r>
                </w:p>
              </w:tc>
              <w:tc>
                <w:tcPr>
                  <w:tcW w:w="2152" w:type="dxa"/>
                  <w:vAlign w:val="center"/>
                </w:tcPr>
                <w:p>
                  <w:pPr>
                    <w:widowControl/>
                    <w:kinsoku w:val="0"/>
                    <w:autoSpaceDE w:val="0"/>
                    <w:autoSpaceDN w:val="0"/>
                    <w:spacing w:line="264" w:lineRule="auto"/>
                    <w:jc w:val="center"/>
                    <w:textAlignment w:val="baseline"/>
                    <w:rPr>
                      <w:color w:val="auto"/>
                      <w:szCs w:val="21"/>
                    </w:rPr>
                  </w:pPr>
                  <w:r>
                    <w:rPr>
                      <w:color w:val="auto"/>
                      <w:szCs w:val="21"/>
                    </w:rPr>
                    <w:t>污染防治区域及部分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5" w:type="dxa"/>
                  <w:vAlign w:val="center"/>
                </w:tcPr>
                <w:p>
                  <w:pPr>
                    <w:widowControl/>
                    <w:kinsoku w:val="0"/>
                    <w:autoSpaceDE w:val="0"/>
                    <w:autoSpaceDN w:val="0"/>
                    <w:spacing w:line="264" w:lineRule="auto"/>
                    <w:jc w:val="center"/>
                    <w:textAlignment w:val="baseline"/>
                    <w:rPr>
                      <w:color w:val="auto"/>
                      <w:szCs w:val="21"/>
                    </w:rPr>
                  </w:pPr>
                  <w:r>
                    <w:rPr>
                      <w:color w:val="auto"/>
                      <w:szCs w:val="21"/>
                    </w:rPr>
                    <w:t>1</w:t>
                  </w:r>
                </w:p>
              </w:tc>
              <w:tc>
                <w:tcPr>
                  <w:tcW w:w="2128" w:type="dxa"/>
                  <w:vAlign w:val="center"/>
                </w:tcPr>
                <w:p>
                  <w:pPr>
                    <w:widowControl/>
                    <w:kinsoku w:val="0"/>
                    <w:autoSpaceDE w:val="0"/>
                    <w:autoSpaceDN w:val="0"/>
                    <w:spacing w:line="264" w:lineRule="auto"/>
                    <w:jc w:val="center"/>
                    <w:textAlignment w:val="baseline"/>
                    <w:rPr>
                      <w:color w:val="auto"/>
                      <w:szCs w:val="21"/>
                    </w:rPr>
                  </w:pPr>
                  <w:r>
                    <w:rPr>
                      <w:color w:val="auto"/>
                      <w:szCs w:val="21"/>
                    </w:rPr>
                    <w:t>危险化学品仓库</w:t>
                  </w:r>
                </w:p>
              </w:tc>
              <w:tc>
                <w:tcPr>
                  <w:tcW w:w="1572" w:type="dxa"/>
                  <w:vAlign w:val="center"/>
                </w:tcPr>
                <w:p>
                  <w:pPr>
                    <w:widowControl/>
                    <w:kinsoku w:val="0"/>
                    <w:autoSpaceDE w:val="0"/>
                    <w:autoSpaceDN w:val="0"/>
                    <w:spacing w:line="264" w:lineRule="auto"/>
                    <w:jc w:val="center"/>
                    <w:textAlignment w:val="baseline"/>
                    <w:rPr>
                      <w:color w:val="auto"/>
                      <w:szCs w:val="21"/>
                    </w:rPr>
                  </w:pPr>
                  <w:r>
                    <w:rPr>
                      <w:color w:val="auto"/>
                      <w:szCs w:val="21"/>
                    </w:rPr>
                    <w:t>其他类型</w:t>
                  </w:r>
                </w:p>
              </w:tc>
              <w:tc>
                <w:tcPr>
                  <w:tcW w:w="1628" w:type="dxa"/>
                  <w:vAlign w:val="center"/>
                </w:tcPr>
                <w:p>
                  <w:pPr>
                    <w:widowControl/>
                    <w:kinsoku w:val="0"/>
                    <w:autoSpaceDE w:val="0"/>
                    <w:autoSpaceDN w:val="0"/>
                    <w:spacing w:line="264" w:lineRule="auto"/>
                    <w:jc w:val="center"/>
                    <w:textAlignment w:val="baseline"/>
                    <w:rPr>
                      <w:color w:val="auto"/>
                      <w:szCs w:val="21"/>
                    </w:rPr>
                  </w:pPr>
                  <w:r>
                    <w:rPr>
                      <w:color w:val="auto"/>
                      <w:szCs w:val="21"/>
                    </w:rPr>
                    <w:t>重点防渗</w:t>
                  </w:r>
                </w:p>
              </w:tc>
              <w:tc>
                <w:tcPr>
                  <w:tcW w:w="2152" w:type="dxa"/>
                  <w:vAlign w:val="center"/>
                </w:tcPr>
                <w:p>
                  <w:pPr>
                    <w:widowControl/>
                    <w:kinsoku w:val="0"/>
                    <w:autoSpaceDE w:val="0"/>
                    <w:autoSpaceDN w:val="0"/>
                    <w:spacing w:line="264" w:lineRule="auto"/>
                    <w:jc w:val="center"/>
                    <w:textAlignment w:val="baseline"/>
                    <w:rPr>
                      <w:color w:val="auto"/>
                      <w:szCs w:val="21"/>
                    </w:rPr>
                  </w:pPr>
                  <w:r>
                    <w:rPr>
                      <w:color w:val="auto"/>
                      <w:szCs w:val="21"/>
                    </w:rPr>
                    <w:t>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5" w:type="dxa"/>
                  <w:vAlign w:val="center"/>
                </w:tcPr>
                <w:p>
                  <w:pPr>
                    <w:widowControl/>
                    <w:kinsoku w:val="0"/>
                    <w:autoSpaceDE w:val="0"/>
                    <w:autoSpaceDN w:val="0"/>
                    <w:spacing w:line="264" w:lineRule="auto"/>
                    <w:jc w:val="center"/>
                    <w:textAlignment w:val="baseline"/>
                    <w:rPr>
                      <w:color w:val="auto"/>
                      <w:szCs w:val="21"/>
                    </w:rPr>
                  </w:pPr>
                  <w:r>
                    <w:rPr>
                      <w:color w:val="auto"/>
                      <w:szCs w:val="21"/>
                    </w:rPr>
                    <w:t>2</w:t>
                  </w:r>
                </w:p>
              </w:tc>
              <w:tc>
                <w:tcPr>
                  <w:tcW w:w="2128" w:type="dxa"/>
                  <w:vAlign w:val="center"/>
                </w:tcPr>
                <w:p>
                  <w:pPr>
                    <w:widowControl/>
                    <w:kinsoku w:val="0"/>
                    <w:autoSpaceDE w:val="0"/>
                    <w:autoSpaceDN w:val="0"/>
                    <w:spacing w:line="264" w:lineRule="auto"/>
                    <w:jc w:val="center"/>
                    <w:textAlignment w:val="baseline"/>
                    <w:rPr>
                      <w:color w:val="auto"/>
                      <w:szCs w:val="21"/>
                    </w:rPr>
                  </w:pPr>
                  <w:r>
                    <w:rPr>
                      <w:color w:val="auto"/>
                      <w:szCs w:val="21"/>
                    </w:rPr>
                    <w:t>危废仓库</w:t>
                  </w:r>
                </w:p>
              </w:tc>
              <w:tc>
                <w:tcPr>
                  <w:tcW w:w="1572" w:type="dxa"/>
                  <w:vAlign w:val="center"/>
                </w:tcPr>
                <w:p>
                  <w:pPr>
                    <w:widowControl/>
                    <w:kinsoku w:val="0"/>
                    <w:autoSpaceDE w:val="0"/>
                    <w:autoSpaceDN w:val="0"/>
                    <w:spacing w:line="264" w:lineRule="auto"/>
                    <w:jc w:val="center"/>
                    <w:textAlignment w:val="baseline"/>
                    <w:rPr>
                      <w:color w:val="auto"/>
                      <w:szCs w:val="21"/>
                    </w:rPr>
                  </w:pPr>
                  <w:r>
                    <w:rPr>
                      <w:color w:val="auto"/>
                      <w:szCs w:val="21"/>
                    </w:rPr>
                    <w:t>其他类型</w:t>
                  </w:r>
                </w:p>
              </w:tc>
              <w:tc>
                <w:tcPr>
                  <w:tcW w:w="1628" w:type="dxa"/>
                  <w:vAlign w:val="center"/>
                </w:tcPr>
                <w:p>
                  <w:pPr>
                    <w:widowControl/>
                    <w:kinsoku w:val="0"/>
                    <w:autoSpaceDE w:val="0"/>
                    <w:autoSpaceDN w:val="0"/>
                    <w:spacing w:line="264" w:lineRule="auto"/>
                    <w:jc w:val="center"/>
                    <w:textAlignment w:val="baseline"/>
                    <w:rPr>
                      <w:color w:val="auto"/>
                      <w:szCs w:val="21"/>
                    </w:rPr>
                  </w:pPr>
                  <w:r>
                    <w:rPr>
                      <w:color w:val="auto"/>
                      <w:szCs w:val="21"/>
                    </w:rPr>
                    <w:t>重点防渗</w:t>
                  </w:r>
                </w:p>
              </w:tc>
              <w:tc>
                <w:tcPr>
                  <w:tcW w:w="2152" w:type="dxa"/>
                  <w:vAlign w:val="center"/>
                </w:tcPr>
                <w:p>
                  <w:pPr>
                    <w:widowControl/>
                    <w:kinsoku w:val="0"/>
                    <w:autoSpaceDE w:val="0"/>
                    <w:autoSpaceDN w:val="0"/>
                    <w:spacing w:line="264" w:lineRule="auto"/>
                    <w:jc w:val="center"/>
                    <w:textAlignment w:val="baseline"/>
                    <w:rPr>
                      <w:color w:val="auto"/>
                      <w:szCs w:val="21"/>
                    </w:rPr>
                  </w:pPr>
                  <w:r>
                    <w:rPr>
                      <w:color w:val="auto"/>
                      <w:szCs w:val="21"/>
                    </w:rPr>
                    <w:t>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5" w:type="dxa"/>
                  <w:vAlign w:val="center"/>
                </w:tcPr>
                <w:p>
                  <w:pPr>
                    <w:widowControl/>
                    <w:kinsoku w:val="0"/>
                    <w:autoSpaceDE w:val="0"/>
                    <w:autoSpaceDN w:val="0"/>
                    <w:spacing w:line="264" w:lineRule="auto"/>
                    <w:jc w:val="center"/>
                    <w:textAlignment w:val="baseline"/>
                    <w:rPr>
                      <w:color w:val="auto"/>
                      <w:szCs w:val="21"/>
                    </w:rPr>
                  </w:pPr>
                  <w:r>
                    <w:rPr>
                      <w:color w:val="auto"/>
                      <w:szCs w:val="21"/>
                    </w:rPr>
                    <w:t>3</w:t>
                  </w:r>
                </w:p>
              </w:tc>
              <w:tc>
                <w:tcPr>
                  <w:tcW w:w="2128" w:type="dxa"/>
                  <w:vAlign w:val="center"/>
                </w:tcPr>
                <w:p>
                  <w:pPr>
                    <w:widowControl/>
                    <w:kinsoku w:val="0"/>
                    <w:autoSpaceDE w:val="0"/>
                    <w:autoSpaceDN w:val="0"/>
                    <w:spacing w:line="264" w:lineRule="auto"/>
                    <w:jc w:val="center"/>
                    <w:textAlignment w:val="baseline"/>
                    <w:rPr>
                      <w:color w:val="auto"/>
                      <w:szCs w:val="21"/>
                    </w:rPr>
                  </w:pPr>
                  <w:r>
                    <w:rPr>
                      <w:color w:val="auto"/>
                      <w:szCs w:val="21"/>
                    </w:rPr>
                    <w:t>生产车间</w:t>
                  </w:r>
                </w:p>
              </w:tc>
              <w:tc>
                <w:tcPr>
                  <w:tcW w:w="1572" w:type="dxa"/>
                  <w:vAlign w:val="center"/>
                </w:tcPr>
                <w:p>
                  <w:pPr>
                    <w:widowControl/>
                    <w:kinsoku w:val="0"/>
                    <w:autoSpaceDE w:val="0"/>
                    <w:autoSpaceDN w:val="0"/>
                    <w:spacing w:line="264" w:lineRule="auto"/>
                    <w:jc w:val="center"/>
                    <w:textAlignment w:val="baseline"/>
                    <w:rPr>
                      <w:color w:val="auto"/>
                      <w:szCs w:val="21"/>
                    </w:rPr>
                  </w:pPr>
                  <w:r>
                    <w:rPr>
                      <w:color w:val="auto"/>
                      <w:szCs w:val="21"/>
                    </w:rPr>
                    <w:t>其他类型</w:t>
                  </w:r>
                </w:p>
              </w:tc>
              <w:tc>
                <w:tcPr>
                  <w:tcW w:w="1628" w:type="dxa"/>
                  <w:vAlign w:val="center"/>
                </w:tcPr>
                <w:p>
                  <w:pPr>
                    <w:widowControl/>
                    <w:kinsoku w:val="0"/>
                    <w:autoSpaceDE w:val="0"/>
                    <w:autoSpaceDN w:val="0"/>
                    <w:spacing w:line="264" w:lineRule="auto"/>
                    <w:jc w:val="center"/>
                    <w:textAlignment w:val="baseline"/>
                    <w:rPr>
                      <w:color w:val="auto"/>
                      <w:szCs w:val="21"/>
                    </w:rPr>
                  </w:pPr>
                  <w:r>
                    <w:rPr>
                      <w:color w:val="auto"/>
                      <w:szCs w:val="21"/>
                    </w:rPr>
                    <w:t>一般防渗</w:t>
                  </w:r>
                </w:p>
              </w:tc>
              <w:tc>
                <w:tcPr>
                  <w:tcW w:w="2152" w:type="dxa"/>
                  <w:vAlign w:val="center"/>
                </w:tcPr>
                <w:p>
                  <w:pPr>
                    <w:widowControl/>
                    <w:kinsoku w:val="0"/>
                    <w:autoSpaceDE w:val="0"/>
                    <w:autoSpaceDN w:val="0"/>
                    <w:spacing w:line="264" w:lineRule="auto"/>
                    <w:jc w:val="center"/>
                    <w:textAlignment w:val="baseline"/>
                    <w:rPr>
                      <w:color w:val="auto"/>
                      <w:szCs w:val="21"/>
                    </w:rPr>
                  </w:pPr>
                  <w:r>
                    <w:rPr>
                      <w:color w:val="auto"/>
                      <w:szCs w:val="21"/>
                    </w:rPr>
                    <w:t>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55" w:type="dxa"/>
                  <w:vAlign w:val="center"/>
                </w:tcPr>
                <w:p>
                  <w:pPr>
                    <w:widowControl/>
                    <w:kinsoku w:val="0"/>
                    <w:autoSpaceDE w:val="0"/>
                    <w:autoSpaceDN w:val="0"/>
                    <w:spacing w:line="264" w:lineRule="auto"/>
                    <w:jc w:val="center"/>
                    <w:textAlignment w:val="baseline"/>
                    <w:rPr>
                      <w:color w:val="auto"/>
                      <w:szCs w:val="21"/>
                    </w:rPr>
                  </w:pPr>
                  <w:r>
                    <w:rPr>
                      <w:color w:val="auto"/>
                      <w:szCs w:val="21"/>
                    </w:rPr>
                    <w:t>4</w:t>
                  </w:r>
                </w:p>
              </w:tc>
              <w:tc>
                <w:tcPr>
                  <w:tcW w:w="2128" w:type="dxa"/>
                  <w:vAlign w:val="center"/>
                </w:tcPr>
                <w:p>
                  <w:pPr>
                    <w:widowControl/>
                    <w:kinsoku w:val="0"/>
                    <w:autoSpaceDE w:val="0"/>
                    <w:autoSpaceDN w:val="0"/>
                    <w:spacing w:line="264" w:lineRule="auto"/>
                    <w:jc w:val="center"/>
                    <w:textAlignment w:val="baseline"/>
                    <w:rPr>
                      <w:color w:val="auto"/>
                      <w:szCs w:val="21"/>
                    </w:rPr>
                  </w:pPr>
                  <w:r>
                    <w:rPr>
                      <w:color w:val="auto"/>
                      <w:szCs w:val="21"/>
                    </w:rPr>
                    <w:t>办公楼</w:t>
                  </w:r>
                </w:p>
              </w:tc>
              <w:tc>
                <w:tcPr>
                  <w:tcW w:w="1572" w:type="dxa"/>
                  <w:vAlign w:val="center"/>
                </w:tcPr>
                <w:p>
                  <w:pPr>
                    <w:widowControl/>
                    <w:kinsoku w:val="0"/>
                    <w:autoSpaceDE w:val="0"/>
                    <w:autoSpaceDN w:val="0"/>
                    <w:spacing w:line="264" w:lineRule="auto"/>
                    <w:jc w:val="center"/>
                    <w:textAlignment w:val="baseline"/>
                    <w:rPr>
                      <w:color w:val="auto"/>
                      <w:szCs w:val="21"/>
                    </w:rPr>
                  </w:pPr>
                  <w:r>
                    <w:rPr>
                      <w:color w:val="auto"/>
                      <w:szCs w:val="21"/>
                    </w:rPr>
                    <w:t>其他类型</w:t>
                  </w:r>
                </w:p>
              </w:tc>
              <w:tc>
                <w:tcPr>
                  <w:tcW w:w="1628" w:type="dxa"/>
                  <w:vAlign w:val="center"/>
                </w:tcPr>
                <w:p>
                  <w:pPr>
                    <w:widowControl/>
                    <w:kinsoku w:val="0"/>
                    <w:autoSpaceDE w:val="0"/>
                    <w:autoSpaceDN w:val="0"/>
                    <w:spacing w:line="264" w:lineRule="auto"/>
                    <w:jc w:val="center"/>
                    <w:textAlignment w:val="baseline"/>
                    <w:rPr>
                      <w:color w:val="auto"/>
                      <w:szCs w:val="21"/>
                    </w:rPr>
                  </w:pPr>
                  <w:r>
                    <w:rPr>
                      <w:color w:val="auto"/>
                      <w:szCs w:val="21"/>
                    </w:rPr>
                    <w:t>简单防渗</w:t>
                  </w:r>
                </w:p>
              </w:tc>
              <w:tc>
                <w:tcPr>
                  <w:tcW w:w="2152" w:type="dxa"/>
                  <w:vAlign w:val="center"/>
                </w:tcPr>
                <w:p>
                  <w:pPr>
                    <w:widowControl/>
                    <w:kinsoku w:val="0"/>
                    <w:autoSpaceDE w:val="0"/>
                    <w:autoSpaceDN w:val="0"/>
                    <w:spacing w:line="264" w:lineRule="auto"/>
                    <w:jc w:val="center"/>
                    <w:textAlignment w:val="baseline"/>
                    <w:rPr>
                      <w:color w:val="auto"/>
                      <w:szCs w:val="21"/>
                    </w:rPr>
                  </w:pPr>
                  <w:r>
                    <w:rPr>
                      <w:color w:val="auto"/>
                      <w:szCs w:val="21"/>
                    </w:rPr>
                    <w:t>地面</w:t>
                  </w:r>
                </w:p>
              </w:tc>
            </w:tr>
          </w:tbl>
          <w:p>
            <w:pPr>
              <w:spacing w:beforeLines="50" w:line="360" w:lineRule="auto"/>
              <w:rPr>
                <w:b/>
                <w:bCs/>
                <w:color w:val="auto"/>
                <w:sz w:val="24"/>
              </w:rPr>
            </w:pPr>
            <w:r>
              <w:rPr>
                <w:b/>
                <w:bCs/>
                <w:color w:val="auto"/>
                <w:sz w:val="24"/>
              </w:rPr>
              <w:t>5.3防控措施</w:t>
            </w:r>
          </w:p>
          <w:p>
            <w:pPr>
              <w:spacing w:line="360" w:lineRule="auto"/>
              <w:ind w:firstLine="480" w:firstLineChars="200"/>
              <w:rPr>
                <w:color w:val="auto"/>
                <w:sz w:val="24"/>
              </w:rPr>
            </w:pPr>
            <w:r>
              <w:rPr>
                <w:color w:val="auto"/>
                <w:sz w:val="24"/>
              </w:rPr>
              <w:t>为减少本项目对土壤、地下水环境的影响，应采取以下保护措施及对策：</w:t>
            </w:r>
          </w:p>
          <w:p>
            <w:pPr>
              <w:spacing w:line="360" w:lineRule="auto"/>
              <w:ind w:firstLine="480" w:firstLineChars="200"/>
              <w:rPr>
                <w:color w:val="auto"/>
                <w:sz w:val="24"/>
              </w:rPr>
            </w:pPr>
            <w:r>
              <w:rPr>
                <w:color w:val="auto"/>
                <w:sz w:val="24"/>
              </w:rPr>
              <w:t>①预防为主、防治结合：重点开展厂区内污染场地土壤、地下水的环境保护监督管理，对污染物造成的土壤、地下水污染问题，由公司负责治理并恢复土壤、地下水使用功能。</w:t>
            </w:r>
          </w:p>
          <w:p>
            <w:pPr>
              <w:spacing w:line="360" w:lineRule="auto"/>
              <w:ind w:firstLine="480" w:firstLineChars="200"/>
              <w:rPr>
                <w:color w:val="auto"/>
                <w:sz w:val="24"/>
              </w:rPr>
            </w:pPr>
            <w:r>
              <w:rPr>
                <w:color w:val="auto"/>
                <w:sz w:val="24"/>
              </w:rPr>
              <w:t>②源头控制措施：项目废气产生量极小，废水、固废均不产生，各类危化品均应封闭储存及运输，定期检查密封性，防止泄漏。</w:t>
            </w:r>
          </w:p>
          <w:p>
            <w:pPr>
              <w:spacing w:line="360" w:lineRule="auto"/>
              <w:ind w:firstLine="480" w:firstLineChars="200"/>
              <w:rPr>
                <w:color w:val="auto"/>
                <w:sz w:val="24"/>
              </w:rPr>
            </w:pPr>
            <w:r>
              <w:rPr>
                <w:color w:val="auto"/>
                <w:sz w:val="24"/>
              </w:rPr>
              <w:t>③过程防治措施：厂区内采取合理绿化，降低废气排放对土壤的污染影响；采取合理的分区防渗措施，优化地面布局，厂区地面硬化处理。</w:t>
            </w:r>
          </w:p>
          <w:p>
            <w:pPr>
              <w:spacing w:line="360" w:lineRule="auto"/>
              <w:ind w:firstLine="480" w:firstLineChars="200"/>
              <w:rPr>
                <w:color w:val="auto"/>
                <w:sz w:val="24"/>
              </w:rPr>
            </w:pPr>
            <w:r>
              <w:rPr>
                <w:color w:val="auto"/>
                <w:sz w:val="24"/>
              </w:rPr>
              <w:t>④加强土壤、地下水环境保护队伍建设，有专人负责土壤、地下水污染防治的管理工作，制定土壤、地下水污染事故应急处理处置预案。</w:t>
            </w:r>
          </w:p>
          <w:p>
            <w:pPr>
              <w:adjustRightInd w:val="0"/>
              <w:snapToGrid w:val="0"/>
              <w:spacing w:line="360" w:lineRule="auto"/>
              <w:rPr>
                <w:b/>
                <w:bCs/>
                <w:color w:val="auto"/>
                <w:sz w:val="24"/>
              </w:rPr>
            </w:pPr>
            <w:r>
              <w:rPr>
                <w:b/>
                <w:bCs/>
                <w:color w:val="auto"/>
                <w:spacing w:val="-1"/>
                <w:sz w:val="24"/>
              </w:rPr>
              <w:t>6、环境</w:t>
            </w:r>
            <w:r>
              <w:rPr>
                <w:b/>
                <w:bCs/>
                <w:color w:val="auto"/>
                <w:sz w:val="24"/>
              </w:rPr>
              <w:t>风险</w:t>
            </w:r>
          </w:p>
          <w:p>
            <w:pPr>
              <w:adjustRightInd w:val="0"/>
              <w:snapToGrid w:val="0"/>
              <w:spacing w:line="360" w:lineRule="auto"/>
              <w:ind w:firstLine="478" w:firstLineChars="200"/>
              <w:rPr>
                <w:b/>
                <w:bCs/>
                <w:color w:val="auto"/>
                <w:sz w:val="24"/>
              </w:rPr>
            </w:pPr>
            <w:r>
              <w:rPr>
                <w:b/>
                <w:bCs/>
                <w:color w:val="auto"/>
                <w:spacing w:val="-1"/>
                <w:sz w:val="24"/>
              </w:rPr>
              <w:t>6</w:t>
            </w:r>
            <w:r>
              <w:rPr>
                <w:b/>
                <w:bCs/>
                <w:color w:val="auto"/>
                <w:sz w:val="24"/>
              </w:rPr>
              <w:t>.1风险源调查</w:t>
            </w:r>
          </w:p>
          <w:p>
            <w:pPr>
              <w:widowControl/>
              <w:spacing w:line="360" w:lineRule="auto"/>
              <w:ind w:firstLine="480" w:firstLineChars="200"/>
              <w:jc w:val="left"/>
              <w:rPr>
                <w:color w:val="auto"/>
                <w:sz w:val="24"/>
              </w:rPr>
            </w:pPr>
            <w:r>
              <w:rPr>
                <w:color w:val="auto"/>
                <w:sz w:val="24"/>
              </w:rPr>
              <w:t>参</w:t>
            </w:r>
            <w:r>
              <w:rPr>
                <w:bCs/>
                <w:snapToGrid w:val="0"/>
                <w:color w:val="auto"/>
                <w:kern w:val="0"/>
                <w:sz w:val="24"/>
              </w:rPr>
              <w:t>照《省生态环境厅关于印发江苏省环境影响评价文件应急相关内容编制要点的通知》（苏环办[2022]338号）的要求调查风险物质和风险源分布情况及可能的影响途径。</w:t>
            </w:r>
          </w:p>
          <w:p>
            <w:pPr>
              <w:widowControl/>
              <w:spacing w:line="360" w:lineRule="auto"/>
              <w:ind w:firstLine="480" w:firstLineChars="200"/>
              <w:jc w:val="left"/>
              <w:rPr>
                <w:bCs/>
                <w:snapToGrid w:val="0"/>
                <w:color w:val="auto"/>
                <w:kern w:val="0"/>
                <w:sz w:val="24"/>
              </w:rPr>
            </w:pPr>
            <w:r>
              <w:rPr>
                <w:bCs/>
                <w:snapToGrid w:val="0"/>
                <w:color w:val="auto"/>
                <w:kern w:val="0"/>
                <w:sz w:val="24"/>
              </w:rPr>
              <w:t>对照《建设项目环境风险评价技术导则》（HJ169-2018）附录B表B.1、B.2，本项目涉及的突发环境事件风险物质为乙醇、柴油，依据导则附录B中表B.1，柴油临界量为2500t；对照《危险化学品重大危险源辨识》（GB18218-2018）表1，乙醇临界量为500t，本项目危险物质数量与临界量比值（Q）值确定表如下</w:t>
            </w:r>
          </w:p>
          <w:p>
            <w:pPr>
              <w:pStyle w:val="2"/>
              <w:spacing w:line="240" w:lineRule="auto"/>
              <w:jc w:val="center"/>
              <w:rPr>
                <w:rFonts w:ascii="Times New Roman" w:hAnsi="Times New Roman"/>
                <w:b/>
                <w:bCs w:val="0"/>
                <w:color w:val="auto"/>
                <w:sz w:val="21"/>
                <w:szCs w:val="21"/>
              </w:rPr>
            </w:pPr>
            <w:r>
              <w:rPr>
                <w:rFonts w:ascii="Times New Roman" w:hAnsi="Times New Roman"/>
                <w:b/>
                <w:bCs w:val="0"/>
                <w:color w:val="auto"/>
                <w:kern w:val="0"/>
                <w:sz w:val="21"/>
                <w:szCs w:val="21"/>
              </w:rPr>
              <w:t>表</w:t>
            </w:r>
            <w:r>
              <w:rPr>
                <w:rFonts w:hint="eastAsia" w:ascii="Times New Roman" w:hAnsi="Times New Roman"/>
                <w:b/>
                <w:bCs w:val="0"/>
                <w:color w:val="auto"/>
                <w:kern w:val="0"/>
                <w:sz w:val="21"/>
                <w:szCs w:val="21"/>
              </w:rPr>
              <w:t>6</w:t>
            </w:r>
            <w:r>
              <w:rPr>
                <w:rFonts w:ascii="Times New Roman" w:hAnsi="Times New Roman"/>
                <w:b/>
                <w:bCs w:val="0"/>
                <w:color w:val="auto"/>
                <w:kern w:val="0"/>
                <w:sz w:val="21"/>
                <w:szCs w:val="21"/>
              </w:rPr>
              <w:t>-1重大危险源辨识一览表</w:t>
            </w:r>
          </w:p>
          <w:tbl>
            <w:tblPr>
              <w:tblStyle w:val="20"/>
              <w:tblW w:w="8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4"/>
              <w:gridCol w:w="1266"/>
              <w:gridCol w:w="1248"/>
              <w:gridCol w:w="1229"/>
              <w:gridCol w:w="1943"/>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4" w:type="dxa"/>
                  <w:vAlign w:val="center"/>
                </w:tcPr>
                <w:p>
                  <w:pPr>
                    <w:adjustRightInd w:val="0"/>
                    <w:snapToGrid w:val="0"/>
                    <w:jc w:val="center"/>
                    <w:rPr>
                      <w:color w:val="auto"/>
                    </w:rPr>
                  </w:pPr>
                  <w:r>
                    <w:rPr>
                      <w:color w:val="auto"/>
                    </w:rPr>
                    <w:t>物质名称</w:t>
                  </w:r>
                </w:p>
              </w:tc>
              <w:tc>
                <w:tcPr>
                  <w:tcW w:w="1266" w:type="dxa"/>
                  <w:vAlign w:val="center"/>
                </w:tcPr>
                <w:p>
                  <w:pPr>
                    <w:adjustRightInd w:val="0"/>
                    <w:snapToGrid w:val="0"/>
                    <w:jc w:val="center"/>
                    <w:rPr>
                      <w:color w:val="auto"/>
                    </w:rPr>
                  </w:pPr>
                  <w:r>
                    <w:rPr>
                      <w:color w:val="auto"/>
                    </w:rPr>
                    <w:t>CAS号</w:t>
                  </w:r>
                </w:p>
              </w:tc>
              <w:tc>
                <w:tcPr>
                  <w:tcW w:w="1248" w:type="dxa"/>
                  <w:vAlign w:val="center"/>
                </w:tcPr>
                <w:p>
                  <w:pPr>
                    <w:adjustRightInd w:val="0"/>
                    <w:snapToGrid w:val="0"/>
                    <w:jc w:val="center"/>
                    <w:rPr>
                      <w:color w:val="auto"/>
                    </w:rPr>
                  </w:pPr>
                  <w:r>
                    <w:rPr>
                      <w:color w:val="auto"/>
                    </w:rPr>
                    <w:t>最大储存量（t）</w:t>
                  </w:r>
                </w:p>
              </w:tc>
              <w:tc>
                <w:tcPr>
                  <w:tcW w:w="1229" w:type="dxa"/>
                  <w:vAlign w:val="center"/>
                </w:tcPr>
                <w:p>
                  <w:pPr>
                    <w:adjustRightInd w:val="0"/>
                    <w:snapToGrid w:val="0"/>
                    <w:jc w:val="center"/>
                    <w:rPr>
                      <w:color w:val="auto"/>
                    </w:rPr>
                  </w:pPr>
                  <w:r>
                    <w:rPr>
                      <w:color w:val="auto"/>
                    </w:rPr>
                    <w:t>临界量（t）</w:t>
                  </w:r>
                </w:p>
              </w:tc>
              <w:tc>
                <w:tcPr>
                  <w:tcW w:w="1943" w:type="dxa"/>
                  <w:vAlign w:val="center"/>
                </w:tcPr>
                <w:p>
                  <w:pPr>
                    <w:adjustRightInd w:val="0"/>
                    <w:snapToGrid w:val="0"/>
                    <w:jc w:val="center"/>
                    <w:rPr>
                      <w:color w:val="auto"/>
                    </w:rPr>
                  </w:pPr>
                  <w:r>
                    <w:rPr>
                      <w:color w:val="auto"/>
                    </w:rPr>
                    <w:t>依据导则</w:t>
                  </w:r>
                </w:p>
              </w:tc>
              <w:tc>
                <w:tcPr>
                  <w:tcW w:w="1311" w:type="dxa"/>
                  <w:vAlign w:val="center"/>
                </w:tcPr>
                <w:p>
                  <w:pPr>
                    <w:adjustRightInd w:val="0"/>
                    <w:snapToGrid w:val="0"/>
                    <w:jc w:val="center"/>
                    <w:rPr>
                      <w:color w:val="auto"/>
                    </w:rPr>
                  </w:pPr>
                  <w:r>
                    <w:rPr>
                      <w:color w:val="auto"/>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74" w:type="dxa"/>
                  <w:vAlign w:val="center"/>
                </w:tcPr>
                <w:p>
                  <w:pPr>
                    <w:adjustRightInd w:val="0"/>
                    <w:snapToGrid w:val="0"/>
                    <w:jc w:val="center"/>
                    <w:rPr>
                      <w:color w:val="auto"/>
                    </w:rPr>
                  </w:pPr>
                  <w:r>
                    <w:rPr>
                      <w:color w:val="auto"/>
                    </w:rPr>
                    <w:t>乙醇</w:t>
                  </w:r>
                </w:p>
              </w:tc>
              <w:tc>
                <w:tcPr>
                  <w:tcW w:w="1266" w:type="dxa"/>
                  <w:vAlign w:val="center"/>
                </w:tcPr>
                <w:p>
                  <w:pPr>
                    <w:adjustRightInd w:val="0"/>
                    <w:snapToGrid w:val="0"/>
                    <w:jc w:val="center"/>
                    <w:rPr>
                      <w:color w:val="auto"/>
                    </w:rPr>
                  </w:pPr>
                  <w:r>
                    <w:rPr>
                      <w:color w:val="auto"/>
                    </w:rPr>
                    <w:t>64-17-5</w:t>
                  </w:r>
                </w:p>
              </w:tc>
              <w:tc>
                <w:tcPr>
                  <w:tcW w:w="1248" w:type="dxa"/>
                  <w:vAlign w:val="center"/>
                </w:tcPr>
                <w:p>
                  <w:pPr>
                    <w:autoSpaceDE w:val="0"/>
                    <w:autoSpaceDN w:val="0"/>
                    <w:adjustRightInd w:val="0"/>
                    <w:snapToGrid w:val="0"/>
                    <w:jc w:val="center"/>
                    <w:rPr>
                      <w:color w:val="auto"/>
                    </w:rPr>
                  </w:pPr>
                  <w:r>
                    <w:rPr>
                      <w:color w:val="auto"/>
                      <w:szCs w:val="21"/>
                    </w:rPr>
                    <w:t>0.</w:t>
                  </w:r>
                  <w:r>
                    <w:rPr>
                      <w:rFonts w:hint="eastAsia"/>
                      <w:color w:val="auto"/>
                      <w:szCs w:val="21"/>
                    </w:rPr>
                    <w:t>01</w:t>
                  </w:r>
                </w:p>
              </w:tc>
              <w:tc>
                <w:tcPr>
                  <w:tcW w:w="1229" w:type="dxa"/>
                  <w:vAlign w:val="center"/>
                </w:tcPr>
                <w:p>
                  <w:pPr>
                    <w:adjustRightInd w:val="0"/>
                    <w:snapToGrid w:val="0"/>
                    <w:jc w:val="center"/>
                    <w:rPr>
                      <w:color w:val="auto"/>
                    </w:rPr>
                  </w:pPr>
                  <w:r>
                    <w:rPr>
                      <w:color w:val="auto"/>
                    </w:rPr>
                    <w:t>500</w:t>
                  </w:r>
                </w:p>
              </w:tc>
              <w:tc>
                <w:tcPr>
                  <w:tcW w:w="1943" w:type="dxa"/>
                  <w:vMerge w:val="restart"/>
                  <w:vAlign w:val="center"/>
                </w:tcPr>
                <w:p>
                  <w:pPr>
                    <w:adjustRightInd w:val="0"/>
                    <w:snapToGrid w:val="0"/>
                    <w:jc w:val="center"/>
                    <w:rPr>
                      <w:color w:val="auto"/>
                    </w:rPr>
                  </w:pPr>
                  <w:r>
                    <w:rPr>
                      <w:color w:val="auto"/>
                    </w:rPr>
                    <w:t>《建设项目环境风险评价技术导则》（HJ169-2018）；《危险化学品重大危险源辨识》（GB18218-2018）</w:t>
                  </w:r>
                </w:p>
              </w:tc>
              <w:tc>
                <w:tcPr>
                  <w:tcW w:w="1311" w:type="dxa"/>
                  <w:vAlign w:val="center"/>
                </w:tcPr>
                <w:p>
                  <w:pPr>
                    <w:adjustRightInd w:val="0"/>
                    <w:snapToGrid w:val="0"/>
                    <w:jc w:val="center"/>
                    <w:rPr>
                      <w:color w:val="auto"/>
                    </w:rPr>
                  </w:pPr>
                  <w:r>
                    <w:rPr>
                      <w:color w:val="auto"/>
                    </w:rPr>
                    <w:t>0.000</w:t>
                  </w:r>
                  <w:r>
                    <w:rPr>
                      <w:rFonts w:hint="eastAsia"/>
                      <w:color w:val="auto"/>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74" w:type="dxa"/>
                  <w:vAlign w:val="center"/>
                </w:tcPr>
                <w:p>
                  <w:pPr>
                    <w:adjustRightInd w:val="0"/>
                    <w:snapToGrid w:val="0"/>
                    <w:jc w:val="center"/>
                    <w:rPr>
                      <w:color w:val="auto"/>
                    </w:rPr>
                  </w:pPr>
                  <w:r>
                    <w:rPr>
                      <w:color w:val="auto"/>
                    </w:rPr>
                    <w:t>柴油</w:t>
                  </w:r>
                </w:p>
              </w:tc>
              <w:tc>
                <w:tcPr>
                  <w:tcW w:w="1266" w:type="dxa"/>
                  <w:vAlign w:val="center"/>
                </w:tcPr>
                <w:p>
                  <w:pPr>
                    <w:adjustRightInd w:val="0"/>
                    <w:snapToGrid w:val="0"/>
                    <w:jc w:val="center"/>
                    <w:rPr>
                      <w:color w:val="auto"/>
                    </w:rPr>
                  </w:pPr>
                  <w:r>
                    <w:rPr>
                      <w:color w:val="auto"/>
                    </w:rPr>
                    <w:t>/</w:t>
                  </w:r>
                </w:p>
              </w:tc>
              <w:tc>
                <w:tcPr>
                  <w:tcW w:w="1248" w:type="dxa"/>
                  <w:vAlign w:val="center"/>
                </w:tcPr>
                <w:p>
                  <w:pPr>
                    <w:autoSpaceDE w:val="0"/>
                    <w:autoSpaceDN w:val="0"/>
                    <w:adjustRightInd w:val="0"/>
                    <w:snapToGrid w:val="0"/>
                    <w:jc w:val="center"/>
                    <w:rPr>
                      <w:color w:val="auto"/>
                    </w:rPr>
                  </w:pPr>
                  <w:r>
                    <w:rPr>
                      <w:rFonts w:hint="eastAsia"/>
                      <w:color w:val="auto"/>
                      <w:szCs w:val="21"/>
                    </w:rPr>
                    <w:t>2</w:t>
                  </w:r>
                </w:p>
              </w:tc>
              <w:tc>
                <w:tcPr>
                  <w:tcW w:w="1229" w:type="dxa"/>
                  <w:vAlign w:val="center"/>
                </w:tcPr>
                <w:p>
                  <w:pPr>
                    <w:adjustRightInd w:val="0"/>
                    <w:snapToGrid w:val="0"/>
                    <w:jc w:val="center"/>
                    <w:rPr>
                      <w:color w:val="auto"/>
                    </w:rPr>
                  </w:pPr>
                  <w:r>
                    <w:rPr>
                      <w:color w:val="auto"/>
                    </w:rPr>
                    <w:t>2500</w:t>
                  </w:r>
                </w:p>
              </w:tc>
              <w:tc>
                <w:tcPr>
                  <w:tcW w:w="1943" w:type="dxa"/>
                  <w:vMerge w:val="continue"/>
                  <w:vAlign w:val="center"/>
                </w:tcPr>
                <w:p>
                  <w:pPr>
                    <w:adjustRightInd w:val="0"/>
                    <w:snapToGrid w:val="0"/>
                    <w:jc w:val="center"/>
                    <w:rPr>
                      <w:color w:val="auto"/>
                    </w:rPr>
                  </w:pPr>
                </w:p>
              </w:tc>
              <w:tc>
                <w:tcPr>
                  <w:tcW w:w="1311" w:type="dxa"/>
                  <w:vAlign w:val="center"/>
                </w:tcPr>
                <w:p>
                  <w:pPr>
                    <w:adjustRightInd w:val="0"/>
                    <w:snapToGrid w:val="0"/>
                    <w:jc w:val="center"/>
                    <w:rPr>
                      <w:color w:val="auto"/>
                    </w:rPr>
                  </w:pPr>
                  <w:r>
                    <w:rPr>
                      <w:color w:val="auto"/>
                    </w:rPr>
                    <w:t>0.000</w:t>
                  </w:r>
                  <w:r>
                    <w:rPr>
                      <w:rFonts w:hint="eastAsia"/>
                      <w:color w:val="auto"/>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74" w:type="dxa"/>
                  <w:vAlign w:val="center"/>
                </w:tcPr>
                <w:p>
                  <w:pPr>
                    <w:adjustRightInd w:val="0"/>
                    <w:snapToGrid w:val="0"/>
                    <w:jc w:val="center"/>
                    <w:rPr>
                      <w:color w:val="auto"/>
                    </w:rPr>
                  </w:pPr>
                  <w:r>
                    <w:rPr>
                      <w:color w:val="auto"/>
                    </w:rPr>
                    <w:t>合计</w:t>
                  </w:r>
                </w:p>
              </w:tc>
              <w:tc>
                <w:tcPr>
                  <w:tcW w:w="5686" w:type="dxa"/>
                  <w:gridSpan w:val="4"/>
                  <w:vAlign w:val="center"/>
                </w:tcPr>
                <w:p>
                  <w:pPr>
                    <w:adjustRightInd w:val="0"/>
                    <w:snapToGrid w:val="0"/>
                    <w:jc w:val="center"/>
                    <w:rPr>
                      <w:color w:val="auto"/>
                    </w:rPr>
                  </w:pPr>
                  <w:r>
                    <w:rPr>
                      <w:color w:val="auto"/>
                    </w:rPr>
                    <w:t>/</w:t>
                  </w:r>
                </w:p>
              </w:tc>
              <w:tc>
                <w:tcPr>
                  <w:tcW w:w="1311" w:type="dxa"/>
                  <w:vAlign w:val="center"/>
                </w:tcPr>
                <w:p>
                  <w:pPr>
                    <w:adjustRightInd w:val="0"/>
                    <w:snapToGrid w:val="0"/>
                    <w:jc w:val="center"/>
                    <w:rPr>
                      <w:color w:val="auto"/>
                    </w:rPr>
                  </w:pPr>
                  <w:r>
                    <w:rPr>
                      <w:color w:val="auto"/>
                    </w:rPr>
                    <w:t>0.00</w:t>
                  </w:r>
                  <w:r>
                    <w:rPr>
                      <w:rFonts w:hint="eastAsia"/>
                      <w:color w:val="auto"/>
                    </w:rPr>
                    <w:t>082</w:t>
                  </w:r>
                </w:p>
              </w:tc>
            </w:tr>
          </w:tbl>
          <w:p>
            <w:pPr>
              <w:pStyle w:val="46"/>
              <w:spacing w:after="0" w:line="360" w:lineRule="auto"/>
              <w:ind w:left="0" w:leftChars="0" w:firstLine="480" w:firstLineChars="200"/>
              <w:jc w:val="both"/>
              <w:rPr>
                <w:rFonts w:ascii="Times New Roman" w:hAnsi="Times New Roman" w:cs="Times New Roman"/>
                <w:bCs/>
                <w:snapToGrid w:val="0"/>
                <w:color w:val="auto"/>
                <w:kern w:val="0"/>
                <w:szCs w:val="24"/>
              </w:rPr>
            </w:pPr>
            <w:r>
              <w:rPr>
                <w:rFonts w:ascii="Times New Roman" w:hAnsi="Times New Roman" w:cs="Times New Roman"/>
                <w:bCs/>
                <w:snapToGrid w:val="0"/>
                <w:color w:val="auto"/>
                <w:kern w:val="0"/>
                <w:szCs w:val="24"/>
              </w:rPr>
              <w:t>由上表可知，本项目建成后全厂Q=0.00</w:t>
            </w:r>
            <w:r>
              <w:rPr>
                <w:rFonts w:hint="eastAsia" w:ascii="Times New Roman" w:hAnsi="Times New Roman" w:cs="Times New Roman"/>
                <w:bCs/>
                <w:snapToGrid w:val="0"/>
                <w:color w:val="auto"/>
                <w:kern w:val="0"/>
                <w:szCs w:val="24"/>
              </w:rPr>
              <w:t>082</w:t>
            </w:r>
            <w:r>
              <w:rPr>
                <w:rFonts w:ascii="Times New Roman" w:hAnsi="Times New Roman" w:cs="Times New Roman"/>
                <w:bCs/>
                <w:snapToGrid w:val="0"/>
                <w:color w:val="auto"/>
                <w:kern w:val="0"/>
                <w:szCs w:val="24"/>
              </w:rPr>
              <w:t>＜1，根据《建设项目环境风险评价技术导则》（HJ169-2018）附录C.1.1可知，当Q＜1时，该项目环境风险潜势为Ⅰ。</w:t>
            </w:r>
          </w:p>
          <w:p>
            <w:pPr>
              <w:pStyle w:val="46"/>
              <w:spacing w:after="0" w:line="360" w:lineRule="auto"/>
              <w:ind w:left="0" w:leftChars="0" w:firstLine="482" w:firstLineChars="200"/>
              <w:jc w:val="left"/>
              <w:rPr>
                <w:rFonts w:ascii="Times New Roman" w:hAnsi="Times New Roman" w:cs="Times New Roman"/>
                <w:b/>
                <w:snapToGrid w:val="0"/>
                <w:color w:val="auto"/>
                <w:kern w:val="0"/>
                <w:szCs w:val="24"/>
              </w:rPr>
            </w:pPr>
            <w:r>
              <w:rPr>
                <w:rFonts w:ascii="Times New Roman" w:hAnsi="Times New Roman" w:cs="Times New Roman"/>
                <w:b/>
                <w:snapToGrid w:val="0"/>
                <w:color w:val="auto"/>
                <w:kern w:val="0"/>
                <w:szCs w:val="24"/>
              </w:rPr>
              <w:t>6.2环境风险识别</w:t>
            </w:r>
          </w:p>
          <w:p>
            <w:pPr>
              <w:pStyle w:val="46"/>
              <w:spacing w:after="0" w:line="360" w:lineRule="auto"/>
              <w:ind w:left="0" w:leftChars="0" w:firstLine="480" w:firstLineChars="200"/>
              <w:jc w:val="left"/>
              <w:rPr>
                <w:rFonts w:ascii="Times New Roman" w:hAnsi="Times New Roman" w:cs="Times New Roman"/>
                <w:color w:val="auto"/>
                <w:szCs w:val="24"/>
              </w:rPr>
            </w:pPr>
            <w:r>
              <w:rPr>
                <w:rFonts w:ascii="Times New Roman" w:hAnsi="Times New Roman" w:cs="Times New Roman"/>
                <w:color w:val="auto"/>
                <w:szCs w:val="24"/>
              </w:rPr>
              <w:t>本项目属于新建自用危险化学品仓库项目，不涉及生产。本次环境风险识别范围包括本项目涉及物质风险识别和环保设施风险识别。</w:t>
            </w:r>
          </w:p>
          <w:p>
            <w:pPr>
              <w:spacing w:line="360" w:lineRule="auto"/>
              <w:ind w:firstLine="480" w:firstLineChars="200"/>
              <w:rPr>
                <w:color w:val="auto"/>
                <w:sz w:val="24"/>
              </w:rPr>
            </w:pPr>
            <w:r>
              <w:rPr>
                <w:color w:val="auto"/>
                <w:sz w:val="24"/>
              </w:rPr>
              <w:t>①物质风险识别</w:t>
            </w:r>
          </w:p>
          <w:p>
            <w:pPr>
              <w:spacing w:line="360" w:lineRule="auto"/>
              <w:ind w:firstLine="480" w:firstLineChars="200"/>
              <w:rPr>
                <w:color w:val="auto"/>
                <w:sz w:val="24"/>
              </w:rPr>
            </w:pPr>
            <w:r>
              <w:rPr>
                <w:color w:val="auto"/>
                <w:sz w:val="24"/>
              </w:rPr>
              <w:t>物质风险识别范围包括：主要原材料及辅助材料、燃料、中间产品、最终产品以及生产过程排放的“三废”污染物等，对照《建设项目环境风险评价技术导则》（HJ169-2018），本项目涉及的危险物质为废包装桶、废包装瓶、废抹布、柴油、乙醇等，涉及的风险包括危废仓库、危险化学品仓库内涉及液态物料泄漏以及泄漏引发的意外燃烧风险，并导致对周围环境造成污染。</w:t>
            </w:r>
          </w:p>
          <w:p>
            <w:pPr>
              <w:spacing w:line="360" w:lineRule="auto"/>
              <w:ind w:firstLine="480" w:firstLineChars="200"/>
              <w:rPr>
                <w:color w:val="auto"/>
                <w:sz w:val="24"/>
              </w:rPr>
            </w:pPr>
            <w:r>
              <w:rPr>
                <w:color w:val="auto"/>
                <w:sz w:val="24"/>
              </w:rPr>
              <w:t>②风险类型：环境风险一般分为火灾、爆炸和泄漏三种情况下可能对环境造成的污染或破坏。</w:t>
            </w:r>
          </w:p>
          <w:p>
            <w:pPr>
              <w:pStyle w:val="46"/>
              <w:spacing w:after="0" w:line="360" w:lineRule="auto"/>
              <w:ind w:left="0" w:leftChars="0" w:firstLine="482" w:firstLineChars="200"/>
              <w:jc w:val="left"/>
              <w:rPr>
                <w:rFonts w:ascii="Times New Roman" w:hAnsi="Times New Roman" w:cs="Times New Roman"/>
                <w:b/>
                <w:snapToGrid w:val="0"/>
                <w:color w:val="auto"/>
                <w:kern w:val="0"/>
                <w:szCs w:val="24"/>
              </w:rPr>
            </w:pPr>
            <w:r>
              <w:rPr>
                <w:rFonts w:ascii="Times New Roman" w:hAnsi="Times New Roman" w:cs="Times New Roman"/>
                <w:b/>
                <w:snapToGrid w:val="0"/>
                <w:color w:val="auto"/>
                <w:kern w:val="0"/>
                <w:szCs w:val="24"/>
              </w:rPr>
              <w:t>6.3典型事故情形</w:t>
            </w:r>
          </w:p>
          <w:p>
            <w:pPr>
              <w:pStyle w:val="2"/>
              <w:ind w:firstLine="482" w:firstLineChars="200"/>
              <w:rPr>
                <w:rFonts w:ascii="Times New Roman" w:hAnsi="Times New Roman"/>
                <w:b/>
                <w:bCs w:val="0"/>
                <w:color w:val="auto"/>
                <w:sz w:val="24"/>
                <w:szCs w:val="24"/>
              </w:rPr>
            </w:pPr>
            <w:r>
              <w:rPr>
                <w:rFonts w:ascii="Times New Roman" w:hAnsi="Times New Roman"/>
                <w:b/>
                <w:bCs w:val="0"/>
                <w:color w:val="auto"/>
                <w:sz w:val="24"/>
                <w:szCs w:val="24"/>
              </w:rPr>
              <w:t>①彭州旺驰物流有限公司“3·14”柴油罐泄漏次生较大突发环境事件</w:t>
            </w:r>
          </w:p>
          <w:p>
            <w:pPr>
              <w:pStyle w:val="2"/>
              <w:ind w:firstLine="480" w:firstLineChars="200"/>
              <w:rPr>
                <w:rFonts w:ascii="Times New Roman" w:hAnsi="Times New Roman"/>
                <w:color w:val="auto"/>
                <w:sz w:val="24"/>
                <w:szCs w:val="24"/>
              </w:rPr>
            </w:pPr>
            <w:r>
              <w:rPr>
                <w:rFonts w:ascii="Times New Roman" w:hAnsi="Times New Roman"/>
                <w:color w:val="auto"/>
                <w:sz w:val="24"/>
                <w:szCs w:val="24"/>
              </w:rPr>
              <w:t>2020年3月14日，成都彭州市旺驰物流有限公司（以下简称旺驰物流）柴油罐发生泄漏，次生一起突发环境事件。根据《突发环境事件调查处理办法》（环境保护部令第32号）有关规定，四川省生态环境厅启动了突发环境事件调查程序，按照“科学严谨、依法依规、实事求是、注重实效”的工作原则，通过现场勘察、资料核查、人员询问及专家论证等方式展开调查，经认定：此次事件是疫情防控复工复产期间，一起企业违规操作导致柴油泄漏引发的较大突发环境事件。</w:t>
            </w:r>
          </w:p>
          <w:p>
            <w:pPr>
              <w:pStyle w:val="2"/>
              <w:ind w:firstLine="480" w:firstLineChars="200"/>
              <w:rPr>
                <w:rFonts w:ascii="Times New Roman" w:hAnsi="Times New Roman"/>
                <w:color w:val="auto"/>
                <w:sz w:val="24"/>
                <w:szCs w:val="24"/>
              </w:rPr>
            </w:pPr>
            <w:r>
              <w:rPr>
                <w:rFonts w:ascii="Times New Roman" w:hAnsi="Times New Roman"/>
                <w:color w:val="auto"/>
                <w:sz w:val="24"/>
                <w:szCs w:val="24"/>
              </w:rPr>
              <w:t>基本情况：2020年3月14日14时左右，旺驰物流卸载柴油时，柴油从油罐与加油机连接管路弯头泄漏。15时30分左右，操作工人发现漏油并关闭油罐底部阀门，柴油停止泄漏。泄漏的柴油经150米的农灌渠、230米的排洪渠、1000米的鸭子河后进入人民渠。3月14日20时左右，污染团到达什邡市三水厂取水口。3月14日23时左右，污染团到达德阳市孝感水厂取水口。</w:t>
            </w:r>
          </w:p>
          <w:p>
            <w:pPr>
              <w:pStyle w:val="2"/>
              <w:ind w:firstLine="480" w:firstLineChars="200"/>
              <w:rPr>
                <w:rFonts w:ascii="Times New Roman" w:hAnsi="Times New Roman"/>
                <w:color w:val="auto"/>
                <w:sz w:val="24"/>
                <w:szCs w:val="24"/>
              </w:rPr>
            </w:pPr>
            <w:r>
              <w:rPr>
                <w:rFonts w:ascii="Times New Roman" w:hAnsi="Times New Roman"/>
                <w:color w:val="auto"/>
                <w:sz w:val="24"/>
                <w:szCs w:val="24"/>
              </w:rPr>
              <w:t>迅速响应：事件发生后，生态环境部、省委省政府立即安排部署，要求做好事件应对处置工作，确保群众饮水安全。四川省生态环境厅赓即派工作组赴现场指导处置，成都、德阳市委市政府迅即响应，通过切断污染源头、拦污清污、加密监测、饮水应急保障、信息公开等措施，事件得到了稳妥处置，保障了德阳市及下游地区人民群众生活用水安全，维护了社会稳定。</w:t>
            </w:r>
          </w:p>
          <w:p>
            <w:pPr>
              <w:pStyle w:val="2"/>
              <w:ind w:firstLine="482" w:firstLineChars="200"/>
              <w:rPr>
                <w:rFonts w:ascii="Times New Roman" w:hAnsi="Times New Roman"/>
                <w:b/>
                <w:bCs w:val="0"/>
                <w:color w:val="auto"/>
                <w:sz w:val="24"/>
                <w:szCs w:val="24"/>
              </w:rPr>
            </w:pPr>
            <w:r>
              <w:rPr>
                <w:rFonts w:ascii="Times New Roman" w:hAnsi="Times New Roman"/>
                <w:b/>
                <w:bCs w:val="0"/>
                <w:color w:val="auto"/>
                <w:sz w:val="24"/>
                <w:szCs w:val="24"/>
              </w:rPr>
              <w:t>②浦东新区某公司及赵某某等污染浦东运河生态环境损害赔偿案案件详情：</w:t>
            </w:r>
          </w:p>
          <w:p>
            <w:pPr>
              <w:pStyle w:val="2"/>
              <w:ind w:firstLine="480" w:firstLineChars="200"/>
              <w:rPr>
                <w:rFonts w:ascii="Times New Roman" w:hAnsi="Times New Roman"/>
                <w:color w:val="auto"/>
                <w:sz w:val="24"/>
                <w:szCs w:val="24"/>
              </w:rPr>
            </w:pPr>
            <w:r>
              <w:rPr>
                <w:rFonts w:ascii="Times New Roman" w:hAnsi="Times New Roman"/>
                <w:color w:val="auto"/>
                <w:sz w:val="24"/>
                <w:szCs w:val="24"/>
              </w:rPr>
              <w:t>2019年4月，执法人员巡检时发现浦东运河王桥段河水被污染。浦东新区地方海事处、浦东新区河道管理事务中心、浦东新区环境监察支队、浦东新区排水管理所分别采取应急处置措施，共发生应急处置费用200余万元。经调查确认，赵某、倪某等人为快速处置某公司生产产生的油污危废，倒至浦东新区龙东大道某粪水收集池、雨水窨井内，油污危废外流造成浦东运河近3000平方米河面污染。</w:t>
            </w:r>
          </w:p>
          <w:p>
            <w:pPr>
              <w:pStyle w:val="2"/>
              <w:ind w:firstLine="480" w:firstLineChars="200"/>
              <w:rPr>
                <w:rFonts w:ascii="Times New Roman" w:hAnsi="Times New Roman"/>
                <w:color w:val="auto"/>
                <w:sz w:val="24"/>
                <w:szCs w:val="24"/>
              </w:rPr>
            </w:pPr>
            <w:r>
              <w:rPr>
                <w:rFonts w:ascii="Times New Roman" w:hAnsi="Times New Roman"/>
                <w:color w:val="auto"/>
                <w:sz w:val="24"/>
                <w:szCs w:val="24"/>
              </w:rPr>
              <w:t>2019年8月，浦东新区生态环境局就该案损害情况召开专家会，经评估，确认污染已基本消除。考虑到当事人赔付意愿、赔付能力及与刑事责任衔接等因素，浦东新区生态环境局决定对该案分批次开展磋商。先行与5名涉刑赔偿义务人进行磋商，并缴纳了120余万生态环境损害赔偿保证金。其后，浦东新区生态环境局与赔偿义务人某公司进行磋商，因企业管理和防范措施方面存在缺失，未及时委托有资质的危废处置单位进行处置，造成该案其他赔偿义务人擅自运输油污危废，应当与本案其他赔偿义务人共同承担排除危害、赔偿损失的生态环境损害赔偿责任。某公司最终愿意承担赔偿责任，并按照协议支付剩余赔偿款90余万元。</w:t>
            </w:r>
          </w:p>
          <w:p>
            <w:pPr>
              <w:pStyle w:val="46"/>
              <w:spacing w:after="0" w:line="360" w:lineRule="auto"/>
              <w:ind w:left="0" w:leftChars="0" w:firstLine="482" w:firstLineChars="200"/>
              <w:jc w:val="left"/>
              <w:rPr>
                <w:rFonts w:ascii="Times New Roman" w:hAnsi="Times New Roman" w:cs="Times New Roman"/>
                <w:b/>
                <w:snapToGrid w:val="0"/>
                <w:color w:val="auto"/>
                <w:kern w:val="0"/>
                <w:szCs w:val="24"/>
              </w:rPr>
            </w:pPr>
            <w:r>
              <w:rPr>
                <w:rFonts w:ascii="Times New Roman" w:hAnsi="Times New Roman" w:cs="Times New Roman"/>
                <w:b/>
                <w:snapToGrid w:val="0"/>
                <w:color w:val="auto"/>
                <w:kern w:val="0"/>
                <w:szCs w:val="24"/>
              </w:rPr>
              <w:t>6.4风险防范措施</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①企业总平面布置严格遵守国家颁布的有关防火和安全等方面规范和规定，采取生产区、集中办公区、危废仓库分离，设置明显的标志；</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②制定安全生产制度，同时加强生产操作人员培训，严格按工艺规程进行操作，并为接触有毒有害原料的操作人员配备防护眼镜、防护手套、防护服等防护用品，防止伤及皮肤、眼睛，以保证职工的安全生产和事故发生时的应急防护。日常监管设施有监控和烟雾报警器等预警措施；全区域合理配套充足的消防器材，专人管理和定期检查，确保满足风险防控管理要求；</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③仓库做到干燥、阴凉、通风，地面防潮、防渗，配备充足的消防器材，在明显位置张贴“严禁烟火”等警示牌；加强对化学品储存及使用的管理，管理人员必须进行安全教育；严格执行原辅料存储的操作规程，各类危险化学品计划采购、分期分批入库，严格控制储存量，入库后应当定期检查并作详细的文字记录；定期检查化学品封口是否严密，有无挥发和渗漏等情况。气瓶存储地门窗的开向以及电器线路应符合防爆要求；库房外应设置禁火标志；消防器材的配备应符合GB50140的规定。室内气瓶分类存储，放置整齐并佩戴好瓶帽。立放时，要妥善固定；横放时，头部朝同一方向。对于有毒、可燃气体的库房和氧气及惰性气体的库房，应设置相应气体的危险性浓度检测报警装置；</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④企业危废仓库按照《危险废物贮存污染控制标准》（GB18597-2023）建设管理，设置防风、防雨、防晒、防渗等措施，配套监控；危险固废进行科学的分类收集；危废仓库地面铺设环氧地坪、液体危废配套防泄漏托盘等防渗措施；对危废进行规范的贮存和运送；建立长效管控措施，防止危废暂存区发生环境污染事故和安全事故；危废转交及运送过程中，严格执行《危险废物转移联单管理办法》中的相关条款，确保危废安全转移运输；定期排查安全风险。</w:t>
            </w:r>
          </w:p>
          <w:p>
            <w:pPr>
              <w:spacing w:line="360" w:lineRule="auto"/>
              <w:ind w:firstLine="482" w:firstLineChars="200"/>
              <w:rPr>
                <w:b/>
                <w:snapToGrid w:val="0"/>
                <w:color w:val="auto"/>
                <w:kern w:val="0"/>
                <w:sz w:val="24"/>
              </w:rPr>
            </w:pPr>
            <w:r>
              <w:rPr>
                <w:b/>
                <w:snapToGrid w:val="0"/>
                <w:color w:val="auto"/>
                <w:kern w:val="0"/>
                <w:sz w:val="24"/>
              </w:rPr>
              <w:t>（1）泄露事故风险防范措施</w:t>
            </w:r>
          </w:p>
          <w:p>
            <w:pPr>
              <w:spacing w:line="360" w:lineRule="auto"/>
              <w:ind w:firstLine="476" w:firstLineChars="200"/>
              <w:rPr>
                <w:bCs/>
                <w:color w:val="auto"/>
                <w:spacing w:val="-1"/>
                <w:sz w:val="24"/>
              </w:rPr>
            </w:pPr>
            <w:r>
              <w:rPr>
                <w:bCs/>
                <w:color w:val="auto"/>
                <w:spacing w:val="-1"/>
                <w:sz w:val="24"/>
              </w:rPr>
              <w:t>①生产车间、危废仓库等按要求做好分区防渗措施；液态危险废物采用防漏托盘盛装。</w:t>
            </w:r>
          </w:p>
          <w:p>
            <w:pPr>
              <w:spacing w:line="360" w:lineRule="auto"/>
              <w:ind w:firstLine="476" w:firstLineChars="200"/>
              <w:rPr>
                <w:bCs/>
                <w:color w:val="auto"/>
                <w:spacing w:val="-1"/>
                <w:sz w:val="24"/>
              </w:rPr>
            </w:pPr>
            <w:r>
              <w:rPr>
                <w:bCs/>
                <w:color w:val="auto"/>
                <w:spacing w:val="-1"/>
                <w:sz w:val="24"/>
              </w:rPr>
              <w:t>②加强管理，化学品贮存和使用、危险废物贮存和转移时按规范操作，一旦发生泄漏，应立即采取应急措施。</w:t>
            </w:r>
          </w:p>
          <w:p>
            <w:pPr>
              <w:spacing w:line="360" w:lineRule="auto"/>
              <w:ind w:firstLine="476" w:firstLineChars="200"/>
              <w:rPr>
                <w:bCs/>
                <w:color w:val="auto"/>
                <w:spacing w:val="-1"/>
                <w:sz w:val="24"/>
              </w:rPr>
            </w:pPr>
            <w:r>
              <w:rPr>
                <w:bCs/>
                <w:color w:val="auto"/>
                <w:spacing w:val="-1"/>
                <w:sz w:val="24"/>
              </w:rPr>
              <w:t>③厂区雨污水排放口应设置截流阀，一旦发生泄漏事故，如果溢出的物料四处流散，应立即启动泄漏源与雨水管网之间的切换阀。将事故污水及时截流在厂区内，保证消防尾水物料泄漏后进入本次新建的事故应急池中。</w:t>
            </w:r>
          </w:p>
          <w:p>
            <w:pPr>
              <w:spacing w:line="360" w:lineRule="auto"/>
              <w:ind w:firstLine="482" w:firstLineChars="200"/>
              <w:rPr>
                <w:b/>
                <w:snapToGrid w:val="0"/>
                <w:color w:val="auto"/>
                <w:kern w:val="0"/>
                <w:sz w:val="24"/>
              </w:rPr>
            </w:pPr>
            <w:r>
              <w:rPr>
                <w:b/>
                <w:snapToGrid w:val="0"/>
                <w:color w:val="auto"/>
                <w:kern w:val="0"/>
                <w:sz w:val="24"/>
              </w:rPr>
              <w:t>（2）火灾、爆炸事故风险防范措施</w:t>
            </w:r>
          </w:p>
          <w:p>
            <w:pPr>
              <w:spacing w:line="360" w:lineRule="auto"/>
              <w:ind w:firstLine="476" w:firstLineChars="200"/>
              <w:rPr>
                <w:bCs/>
                <w:color w:val="auto"/>
                <w:spacing w:val="-1"/>
                <w:sz w:val="24"/>
              </w:rPr>
            </w:pPr>
            <w:r>
              <w:rPr>
                <w:bCs/>
                <w:color w:val="auto"/>
                <w:spacing w:val="-1"/>
                <w:sz w:val="24"/>
              </w:rPr>
              <w:t>①加强设备的安全管理，定期对设备进行安全检测，检测内容、时间、人员有记录保存。安全检测根据设备的安全性、危险性设定检测频次。</w:t>
            </w:r>
          </w:p>
          <w:p>
            <w:pPr>
              <w:spacing w:line="360" w:lineRule="auto"/>
              <w:ind w:firstLine="476" w:firstLineChars="200"/>
              <w:rPr>
                <w:bCs/>
                <w:color w:val="auto"/>
                <w:spacing w:val="-1"/>
                <w:sz w:val="24"/>
              </w:rPr>
            </w:pPr>
            <w:r>
              <w:rPr>
                <w:bCs/>
                <w:color w:val="auto"/>
                <w:spacing w:val="-1"/>
                <w:sz w:val="24"/>
              </w:rPr>
              <w:t>②加强火源的管理，严禁烟火带入。</w:t>
            </w:r>
          </w:p>
          <w:p>
            <w:pPr>
              <w:spacing w:line="360" w:lineRule="auto"/>
              <w:ind w:firstLine="476" w:firstLineChars="200"/>
              <w:rPr>
                <w:bCs/>
                <w:color w:val="auto"/>
                <w:spacing w:val="-1"/>
                <w:sz w:val="24"/>
              </w:rPr>
            </w:pPr>
            <w:r>
              <w:rPr>
                <w:bCs/>
                <w:color w:val="auto"/>
                <w:spacing w:val="-1"/>
                <w:sz w:val="24"/>
              </w:rPr>
              <w:t>③设置一定数量的烟感、温感及手动火灾报警器，分布在车间各个部位，包括办公区、生产区、仓库等区域。车间内配备必要的消防设施，包括消防栓、干粉灭火器、消防泵等。室外消防给水管网按环状布置，管网上设置室外地上式消火栓，消火栓旁设置钢制消防箱。</w:t>
            </w:r>
          </w:p>
          <w:p>
            <w:pPr>
              <w:spacing w:line="360" w:lineRule="auto"/>
              <w:ind w:firstLine="476" w:firstLineChars="200"/>
              <w:rPr>
                <w:bCs/>
                <w:color w:val="auto"/>
                <w:spacing w:val="-1"/>
                <w:sz w:val="24"/>
              </w:rPr>
            </w:pPr>
            <w:r>
              <w:rPr>
                <w:bCs/>
                <w:color w:val="auto"/>
                <w:spacing w:val="-1"/>
                <w:sz w:val="24"/>
              </w:rPr>
              <w:t>④生产区域配备良好的供排风系统和足够的环境应急物资等，企业值班人员应熟悉火灾、爆炸事故的处理程序及方法，确保一旦发生隐患第一时间采取有效手段处理。</w:t>
            </w:r>
          </w:p>
          <w:p>
            <w:pPr>
              <w:spacing w:line="360" w:lineRule="auto"/>
              <w:ind w:firstLine="478" w:firstLineChars="200"/>
              <w:rPr>
                <w:b/>
                <w:color w:val="auto"/>
                <w:spacing w:val="-1"/>
                <w:sz w:val="24"/>
              </w:rPr>
            </w:pPr>
            <w:r>
              <w:rPr>
                <w:b/>
                <w:color w:val="auto"/>
                <w:spacing w:val="-1"/>
                <w:sz w:val="24"/>
              </w:rPr>
              <w:t>（3）电气安全风险防范</w:t>
            </w:r>
          </w:p>
          <w:p>
            <w:pPr>
              <w:spacing w:line="360" w:lineRule="auto"/>
              <w:ind w:firstLine="476" w:firstLineChars="200"/>
              <w:rPr>
                <w:bCs/>
                <w:color w:val="auto"/>
                <w:spacing w:val="-1"/>
                <w:sz w:val="24"/>
              </w:rPr>
            </w:pPr>
            <w:r>
              <w:rPr>
                <w:bCs/>
                <w:color w:val="auto"/>
                <w:spacing w:val="-1"/>
                <w:sz w:val="24"/>
              </w:rPr>
              <w:t>①加强对建筑电气的漏电保护，在建筑物电源进线处设计安装带漏电保护功能的熔断器。</w:t>
            </w:r>
          </w:p>
          <w:p>
            <w:pPr>
              <w:spacing w:line="360" w:lineRule="auto"/>
              <w:ind w:firstLine="476" w:firstLineChars="200"/>
              <w:rPr>
                <w:bCs/>
                <w:color w:val="auto"/>
                <w:spacing w:val="-1"/>
                <w:sz w:val="24"/>
              </w:rPr>
            </w:pPr>
            <w:r>
              <w:rPr>
                <w:bCs/>
                <w:color w:val="auto"/>
                <w:spacing w:val="-1"/>
                <w:sz w:val="24"/>
              </w:rPr>
              <w:t>②加强用电管理，定期对设备进行安全检查，检测内容，时间、人员应有记录保存，对使用时间长的电器设备，要及时更换或维修。</w:t>
            </w:r>
          </w:p>
          <w:p>
            <w:pPr>
              <w:spacing w:line="360" w:lineRule="auto"/>
              <w:ind w:firstLine="476" w:firstLineChars="200"/>
              <w:rPr>
                <w:bCs/>
                <w:color w:val="auto"/>
                <w:spacing w:val="-1"/>
                <w:sz w:val="24"/>
              </w:rPr>
            </w:pPr>
            <w:r>
              <w:rPr>
                <w:bCs/>
                <w:color w:val="auto"/>
                <w:spacing w:val="-1"/>
                <w:sz w:val="24"/>
              </w:rPr>
              <w:t>③加强工作人员的安全教育，加大管理力度，及时清洁、检修设备：定期对电气线路进行检测，发现隐患及时消除。</w:t>
            </w:r>
          </w:p>
          <w:p>
            <w:pPr>
              <w:spacing w:line="360" w:lineRule="auto"/>
              <w:ind w:firstLine="476" w:firstLineChars="200"/>
              <w:rPr>
                <w:bCs/>
                <w:color w:val="auto"/>
                <w:spacing w:val="-1"/>
                <w:sz w:val="24"/>
              </w:rPr>
            </w:pPr>
            <w:r>
              <w:rPr>
                <w:bCs/>
                <w:color w:val="auto"/>
                <w:spacing w:val="-1"/>
                <w:sz w:val="24"/>
              </w:rPr>
              <w:t>④经常检查确保设备正常运转，在现场布置灭火器材。</w:t>
            </w:r>
          </w:p>
          <w:p>
            <w:pPr>
              <w:pStyle w:val="46"/>
              <w:spacing w:after="0" w:line="360" w:lineRule="auto"/>
              <w:ind w:left="0" w:leftChars="0" w:firstLine="482" w:firstLineChars="200"/>
              <w:jc w:val="left"/>
              <w:rPr>
                <w:rFonts w:ascii="Times New Roman" w:hAnsi="Times New Roman" w:cs="Times New Roman"/>
                <w:b/>
                <w:snapToGrid w:val="0"/>
                <w:color w:val="auto"/>
                <w:kern w:val="0"/>
                <w:szCs w:val="24"/>
              </w:rPr>
            </w:pPr>
            <w:r>
              <w:rPr>
                <w:rFonts w:ascii="Times New Roman" w:hAnsi="Times New Roman" w:cs="Times New Roman"/>
                <w:b/>
                <w:snapToGrid w:val="0"/>
                <w:color w:val="auto"/>
                <w:kern w:val="0"/>
                <w:szCs w:val="24"/>
              </w:rPr>
              <w:t>6.5应急管理制度</w:t>
            </w:r>
          </w:p>
          <w:p>
            <w:pPr>
              <w:spacing w:line="360" w:lineRule="auto"/>
              <w:ind w:firstLine="476" w:firstLineChars="200"/>
              <w:rPr>
                <w:bCs/>
                <w:color w:val="auto"/>
                <w:spacing w:val="-1"/>
                <w:sz w:val="24"/>
              </w:rPr>
            </w:pPr>
            <w:r>
              <w:rPr>
                <w:bCs/>
                <w:color w:val="auto"/>
                <w:spacing w:val="-1"/>
                <w:sz w:val="24"/>
              </w:rPr>
              <w:t>本项目建设新增应急池及配套废水收集管路和安装雨水管路阀门，并进行日常维护。</w:t>
            </w:r>
          </w:p>
          <w:p>
            <w:pPr>
              <w:spacing w:line="360" w:lineRule="auto"/>
              <w:ind w:firstLine="476" w:firstLineChars="200"/>
              <w:rPr>
                <w:bCs/>
                <w:color w:val="auto"/>
                <w:spacing w:val="-1"/>
                <w:sz w:val="24"/>
              </w:rPr>
            </w:pPr>
            <w:r>
              <w:rPr>
                <w:bCs/>
                <w:color w:val="auto"/>
                <w:spacing w:val="-1"/>
                <w:sz w:val="24"/>
              </w:rPr>
              <w:t>本项目建成后按照《江苏省突发环境事件应急预案管理办法》（苏环发[2023]7号）、《企事业单位和工业园区突发环境事件应急预案编制导则》（DB32/T3795-2020）等文件要求，结合企业实际情况以及本项目的内容进行编辑企业的应急预案。并注意与区域已有环境风险应急预案对接与联动。一旦发生重、特大风险事故，应立即启动应急预案，严格执行分级对应。加强建设项目环境影响评价与突发环境事件应急预案衔接，有针对性的提出应急预案管理要求，按照应急预案的要求配备应急物资、应急装备，定期开展应急演练和培训。</w:t>
            </w:r>
          </w:p>
          <w:p>
            <w:pPr>
              <w:spacing w:line="360" w:lineRule="auto"/>
              <w:ind w:firstLine="476" w:firstLineChars="200"/>
              <w:rPr>
                <w:bCs/>
                <w:color w:val="auto"/>
                <w:spacing w:val="-1"/>
                <w:sz w:val="24"/>
              </w:rPr>
            </w:pPr>
            <w:r>
              <w:rPr>
                <w:bCs/>
                <w:color w:val="auto"/>
                <w:spacing w:val="-1"/>
                <w:sz w:val="24"/>
              </w:rPr>
              <w:t>分级响应：公司位于常熟高新技术产业开发区，本公司突发环境事件应急预案是常熟高新技术产业开发区突发环境事件应急预案的下级预案，当突发环境事件级别较低时，启动本公司突发环境事件应急预案；当突发环境事件级别较高时，及时上报政府部门，由政府部门同时启动园区突发环境事件应急预案，对事态进行紧急控制，并采取措施进行救援。常熟高新技术产业开发区——企业两级应急预案通过这种功能上的互补，能充分保障园区和企业应急救援工作的顺利开展。</w:t>
            </w:r>
          </w:p>
          <w:p>
            <w:pPr>
              <w:pStyle w:val="46"/>
              <w:spacing w:after="0" w:line="360" w:lineRule="auto"/>
              <w:ind w:left="0" w:leftChars="0" w:firstLine="482" w:firstLineChars="200"/>
              <w:jc w:val="left"/>
              <w:rPr>
                <w:rFonts w:ascii="Times New Roman" w:hAnsi="Times New Roman" w:cs="Times New Roman"/>
                <w:b/>
                <w:snapToGrid w:val="0"/>
                <w:color w:val="auto"/>
                <w:kern w:val="0"/>
                <w:szCs w:val="24"/>
              </w:rPr>
            </w:pPr>
            <w:r>
              <w:rPr>
                <w:rFonts w:ascii="Times New Roman" w:hAnsi="Times New Roman" w:cs="Times New Roman"/>
                <w:b/>
                <w:snapToGrid w:val="0"/>
                <w:color w:val="auto"/>
                <w:kern w:val="0"/>
                <w:szCs w:val="24"/>
              </w:rPr>
              <w:t>6.6竣工验收内容</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①危废仓库、危险化学品仓库地面分区防渗；</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②应急装备配备与应急物资储备，现场配备应急处置卡；</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③厂区雨水排放口截断设施安装与维护；</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④半地下式应急池及配套事故收集废水管网；</w:t>
            </w:r>
          </w:p>
          <w:p>
            <w:pPr>
              <w:pStyle w:val="2"/>
              <w:ind w:firstLine="476" w:firstLineChars="200"/>
              <w:rPr>
                <w:rFonts w:ascii="Times New Roman" w:hAnsi="Times New Roman"/>
                <w:color w:val="auto"/>
                <w:spacing w:val="-1"/>
                <w:sz w:val="24"/>
                <w:szCs w:val="24"/>
              </w:rPr>
            </w:pPr>
            <w:r>
              <w:rPr>
                <w:rFonts w:ascii="Times New Roman" w:hAnsi="Times New Roman"/>
                <w:color w:val="auto"/>
                <w:spacing w:val="-1"/>
                <w:sz w:val="24"/>
                <w:szCs w:val="24"/>
              </w:rPr>
              <w:t>⑤环境应急预案备案；</w:t>
            </w:r>
          </w:p>
          <w:p>
            <w:pPr>
              <w:pStyle w:val="2"/>
              <w:numPr>
                <w:ilvl w:val="0"/>
                <w:numId w:val="9"/>
              </w:numPr>
              <w:adjustRightInd/>
              <w:rPr>
                <w:rFonts w:ascii="Times New Roman" w:hAnsi="Times New Roman"/>
                <w:b/>
                <w:bCs w:val="0"/>
                <w:color w:val="auto"/>
                <w:spacing w:val="-3"/>
                <w:sz w:val="24"/>
                <w:szCs w:val="24"/>
              </w:rPr>
            </w:pPr>
            <w:r>
              <w:rPr>
                <w:rFonts w:ascii="Times New Roman" w:hAnsi="Times New Roman"/>
                <w:b/>
                <w:bCs w:val="0"/>
                <w:color w:val="auto"/>
                <w:spacing w:val="-3"/>
                <w:sz w:val="24"/>
                <w:szCs w:val="24"/>
              </w:rPr>
              <w:t>电磁辐射</w:t>
            </w:r>
          </w:p>
          <w:p>
            <w:pPr>
              <w:pStyle w:val="46"/>
              <w:spacing w:after="0" w:line="360" w:lineRule="auto"/>
              <w:ind w:left="0" w:leftChars="0" w:firstLine="480" w:firstLineChars="200"/>
              <w:jc w:val="left"/>
              <w:rPr>
                <w:rFonts w:ascii="Times New Roman" w:hAnsi="Times New Roman" w:cs="Times New Roman"/>
                <w:color w:val="auto"/>
              </w:rPr>
            </w:pPr>
            <w:r>
              <w:rPr>
                <w:rFonts w:ascii="Times New Roman" w:hAnsi="Times New Roman" w:cs="Times New Roman"/>
                <w:bCs/>
                <w:snapToGrid w:val="0"/>
                <w:color w:val="auto"/>
                <w:kern w:val="0"/>
                <w:szCs w:val="24"/>
              </w:rPr>
              <w:t>本项目不属于电磁辐射类项目，无需开展电磁辐射环境影响分析。</w:t>
            </w:r>
          </w:p>
          <w:p>
            <w:pPr>
              <w:spacing w:line="360" w:lineRule="auto"/>
              <w:rPr>
                <w:b/>
                <w:bCs/>
                <w:color w:val="auto"/>
                <w:sz w:val="24"/>
              </w:rPr>
            </w:pPr>
            <w:r>
              <w:rPr>
                <w:b/>
                <w:bCs/>
                <w:color w:val="auto"/>
                <w:spacing w:val="-1"/>
                <w:sz w:val="24"/>
              </w:rPr>
              <w:t>8、环境管理计划</w:t>
            </w:r>
          </w:p>
          <w:p>
            <w:pPr>
              <w:widowControl/>
              <w:spacing w:line="360" w:lineRule="auto"/>
              <w:ind w:firstLine="480" w:firstLineChars="200"/>
              <w:jc w:val="left"/>
              <w:rPr>
                <w:color w:val="auto"/>
              </w:rPr>
            </w:pPr>
            <w:r>
              <w:rPr>
                <w:color w:val="auto"/>
                <w:kern w:val="0"/>
                <w:sz w:val="24"/>
              </w:rPr>
              <w:t>①环境管理机构</w:t>
            </w:r>
          </w:p>
          <w:p>
            <w:pPr>
              <w:widowControl/>
              <w:spacing w:line="360" w:lineRule="auto"/>
              <w:ind w:firstLine="480" w:firstLineChars="200"/>
              <w:jc w:val="left"/>
              <w:rPr>
                <w:color w:val="auto"/>
              </w:rPr>
            </w:pPr>
            <w:r>
              <w:rPr>
                <w:color w:val="auto"/>
                <w:kern w:val="0"/>
                <w:sz w:val="24"/>
              </w:rPr>
              <w:t>本项目建成后依托现有的环境管理机构，公司已设立环境管理机构，配备专业环保管理人员1名，负责环境监督管理工作，需加强对管理人员的环保培训。</w:t>
            </w:r>
          </w:p>
          <w:p>
            <w:pPr>
              <w:widowControl/>
              <w:spacing w:line="360" w:lineRule="auto"/>
              <w:ind w:firstLine="480" w:firstLineChars="200"/>
              <w:jc w:val="left"/>
              <w:rPr>
                <w:color w:val="auto"/>
              </w:rPr>
            </w:pPr>
            <w:r>
              <w:rPr>
                <w:color w:val="auto"/>
                <w:kern w:val="0"/>
                <w:sz w:val="24"/>
              </w:rPr>
              <w:t>②环境管理制度</w:t>
            </w:r>
          </w:p>
          <w:p>
            <w:pPr>
              <w:widowControl/>
              <w:spacing w:line="360" w:lineRule="auto"/>
              <w:ind w:firstLine="480" w:firstLineChars="200"/>
              <w:jc w:val="left"/>
              <w:rPr>
                <w:color w:val="auto"/>
              </w:rPr>
            </w:pPr>
            <w:r>
              <w:rPr>
                <w:color w:val="auto"/>
                <w:kern w:val="0"/>
                <w:sz w:val="24"/>
              </w:rPr>
              <w:t>建设单位应建立健全环境管理制度体系，将环保纳入考核体系，确保在日常运行中将环保目标落实到实处。</w:t>
            </w:r>
          </w:p>
          <w:p>
            <w:pPr>
              <w:widowControl/>
              <w:spacing w:line="360" w:lineRule="auto"/>
              <w:ind w:firstLine="480" w:firstLineChars="200"/>
              <w:jc w:val="left"/>
              <w:rPr>
                <w:color w:val="auto"/>
              </w:rPr>
            </w:pPr>
            <w:r>
              <w:rPr>
                <w:color w:val="auto"/>
                <w:kern w:val="0"/>
                <w:sz w:val="24"/>
              </w:rPr>
              <w:t>建设单位应派专人负责污染源日常管理，建立从生产一线的原始记录、月台账、年报表的三级记录制度；建立公司环保设施档案，记录环保设施的运转及检修情况，以加强对环保设施的管理和及时维修，保证治理设施的正常运行。</w:t>
            </w:r>
          </w:p>
          <w:p>
            <w:pPr>
              <w:widowControl/>
              <w:spacing w:line="360" w:lineRule="auto"/>
              <w:ind w:firstLine="480" w:firstLineChars="200"/>
              <w:jc w:val="left"/>
              <w:rPr>
                <w:color w:val="auto"/>
              </w:rPr>
            </w:pPr>
            <w:r>
              <w:rPr>
                <w:color w:val="auto"/>
                <w:kern w:val="0"/>
                <w:sz w:val="24"/>
              </w:rPr>
              <w:t>建设单位应定期向当地政府环保部门报告污染治理设施运行情况、污染物排放情况以及污染事故、污染纠纷等情况，便于环保部门和企业管理人员及时了解企业污染动态，利于采取相应的对策措施。若企业排污情况发生重大变化、污染治理设施改变或企业改、扩建等都必须按《环境影响评价法》、《建设项目环境保护管理条例》等文件要求，向当地环保部门申报，并请有审批权限的环保部门审批。</w:t>
            </w:r>
          </w:p>
          <w:p>
            <w:pPr>
              <w:widowControl/>
              <w:spacing w:line="360" w:lineRule="auto"/>
              <w:ind w:firstLine="480" w:firstLineChars="200"/>
              <w:jc w:val="left"/>
              <w:rPr>
                <w:color w:val="auto"/>
              </w:rPr>
            </w:pPr>
            <w:r>
              <w:rPr>
                <w:color w:val="auto"/>
                <w:kern w:val="0"/>
                <w:sz w:val="24"/>
              </w:rPr>
              <w:t>建成后必须确保污染处理设施长期、稳定、有效地运行，不得擅自拆除或者闲置污染处理设施，不得故意不正常使用污染处理设施。污染处理设施的管理必须与生产经营活动一起纳入企业日常管理工作的范畴，落实责任人、操作人员、维修人员、运行经费、设备的备品备件和其他原辅材料，同时要建立岗位责任制、操作规程和管理台账。</w:t>
            </w:r>
          </w:p>
          <w:p>
            <w:pPr>
              <w:widowControl/>
              <w:spacing w:line="360" w:lineRule="auto"/>
              <w:ind w:firstLine="480" w:firstLineChars="200"/>
              <w:jc w:val="left"/>
              <w:rPr>
                <w:color w:val="auto"/>
              </w:rPr>
            </w:pPr>
            <w:r>
              <w:rPr>
                <w:color w:val="auto"/>
                <w:kern w:val="0"/>
                <w:sz w:val="24"/>
              </w:rPr>
              <w:t>建设单位应加强宣传教育，提高员工的污染隐患意识和环境风险意识；制定员工参与环保技术培训的计划，提高员工技术素质水平；设立岗位实责制，制定严格的奖、罚制度。建议企业设置环境保护奖励条例，纳入人员考核体系，对爱护环保设施、节能降耗、改善环境者实行奖励；对环保观念淡薄，不按环保管理要求，造成环保设施损坏、环境污染及资源和能源浪费者一律处以重罚。</w:t>
            </w:r>
          </w:p>
          <w:p>
            <w:pPr>
              <w:widowControl/>
              <w:spacing w:line="360" w:lineRule="auto"/>
              <w:ind w:firstLine="480" w:firstLineChars="200"/>
              <w:jc w:val="left"/>
              <w:rPr>
                <w:color w:val="auto"/>
              </w:rPr>
            </w:pPr>
            <w:r>
              <w:rPr>
                <w:color w:val="auto"/>
                <w:kern w:val="0"/>
                <w:sz w:val="24"/>
              </w:rPr>
              <w:t>③排污口设置规范化</w:t>
            </w:r>
          </w:p>
          <w:p>
            <w:pPr>
              <w:widowControl/>
              <w:spacing w:line="360" w:lineRule="auto"/>
              <w:ind w:firstLine="480" w:firstLineChars="200"/>
              <w:jc w:val="left"/>
              <w:rPr>
                <w:color w:val="auto"/>
              </w:rPr>
            </w:pPr>
            <w:r>
              <w:rPr>
                <w:color w:val="auto"/>
                <w:kern w:val="0"/>
                <w:sz w:val="24"/>
              </w:rPr>
              <w:t>根据《江苏省排污口设置及规范化整治管理办法》（苏环控[1997]122号）</w:t>
            </w:r>
          </w:p>
          <w:p>
            <w:pPr>
              <w:widowControl/>
              <w:spacing w:line="360" w:lineRule="auto"/>
              <w:jc w:val="left"/>
              <w:rPr>
                <w:color w:val="auto"/>
              </w:rPr>
            </w:pPr>
            <w:r>
              <w:rPr>
                <w:color w:val="auto"/>
                <w:kern w:val="0"/>
                <w:sz w:val="24"/>
              </w:rPr>
              <w:t>的要求设置与管理排污口（指废水排放口、废气排气筒和固废临时堆放场所）：</w:t>
            </w:r>
          </w:p>
          <w:p>
            <w:pPr>
              <w:tabs>
                <w:tab w:val="left" w:pos="156"/>
              </w:tabs>
              <w:spacing w:line="360" w:lineRule="auto"/>
              <w:ind w:firstLine="480"/>
              <w:rPr>
                <w:color w:val="auto"/>
              </w:rPr>
            </w:pPr>
            <w:r>
              <w:rPr>
                <w:color w:val="auto"/>
                <w:kern w:val="0"/>
                <w:sz w:val="24"/>
              </w:rPr>
              <w:t>在排污口附近醒目处按规定设置环保标志牌，排污口的设置要合理，便于采集监测样品、便于监测计量、便于公众参与监督管理。</w:t>
            </w:r>
          </w:p>
        </w:tc>
      </w:tr>
    </w:tbl>
    <w:p>
      <w:pPr>
        <w:adjustRightInd w:val="0"/>
        <w:snapToGrid w:val="0"/>
        <w:spacing w:line="360" w:lineRule="auto"/>
        <w:rPr>
          <w:b/>
          <w:color w:val="auto"/>
          <w:kern w:val="0"/>
          <w:sz w:val="28"/>
          <w:szCs w:val="28"/>
        </w:rPr>
        <w:sectPr>
          <w:pgSz w:w="11907" w:h="16840"/>
          <w:pgMar w:top="1701" w:right="1531" w:bottom="2127" w:left="1531" w:header="851" w:footer="851" w:gutter="0"/>
          <w:cols w:space="720" w:num="1"/>
          <w:docGrid w:linePitch="312" w:charSpace="0"/>
        </w:sectPr>
      </w:pPr>
    </w:p>
    <w:p>
      <w:pPr>
        <w:pStyle w:val="16"/>
        <w:adjustRightInd w:val="0"/>
        <w:snapToGrid w:val="0"/>
        <w:spacing w:beforeLines="50" w:beforeAutospacing="0" w:afterLines="50" w:afterAutospacing="0"/>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五、</w:t>
      </w:r>
      <w:bookmarkStart w:id="2" w:name="_Hlk54167917"/>
      <w:r>
        <w:rPr>
          <w:rFonts w:ascii="Times New Roman" w:hAnsi="Times New Roman"/>
          <w:snapToGrid w:val="0"/>
          <w:color w:val="auto"/>
          <w:sz w:val="30"/>
          <w:szCs w:val="30"/>
        </w:rPr>
        <w:t>环境保护措施监督检查清单</w:t>
      </w:r>
      <w:bookmarkEnd w:id="2"/>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465"/>
        <w:gridCol w:w="1670"/>
        <w:gridCol w:w="1877"/>
        <w:gridCol w:w="23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79" w:type="dxa"/>
            <w:tcBorders>
              <w:tl2br w:val="single" w:color="auto" w:sz="4" w:space="0"/>
            </w:tcBorders>
            <w:noWrap/>
            <w:vAlign w:val="center"/>
          </w:tcPr>
          <w:p>
            <w:pPr>
              <w:adjustRightInd w:val="0"/>
              <w:snapToGrid w:val="0"/>
              <w:ind w:firstLine="630" w:firstLineChars="300"/>
              <w:jc w:val="center"/>
              <w:rPr>
                <w:color w:val="auto"/>
                <w:szCs w:val="21"/>
              </w:rPr>
            </w:pPr>
            <w:r>
              <w:rPr>
                <w:color w:val="auto"/>
                <w:szCs w:val="21"/>
              </w:rPr>
              <w:t>内容</w:t>
            </w:r>
          </w:p>
          <w:p>
            <w:pPr>
              <w:adjustRightInd w:val="0"/>
              <w:snapToGrid w:val="0"/>
              <w:spacing w:beforeLines="50"/>
              <w:jc w:val="center"/>
              <w:rPr>
                <w:color w:val="auto"/>
                <w:szCs w:val="21"/>
              </w:rPr>
            </w:pPr>
            <w:r>
              <w:rPr>
                <w:color w:val="auto"/>
                <w:szCs w:val="21"/>
              </w:rPr>
              <w:t>要素</w:t>
            </w:r>
          </w:p>
        </w:tc>
        <w:tc>
          <w:tcPr>
            <w:tcW w:w="1465" w:type="dxa"/>
            <w:noWrap/>
            <w:vAlign w:val="center"/>
          </w:tcPr>
          <w:p>
            <w:pPr>
              <w:adjustRightInd w:val="0"/>
              <w:snapToGrid w:val="0"/>
              <w:jc w:val="center"/>
              <w:rPr>
                <w:color w:val="auto"/>
                <w:szCs w:val="21"/>
              </w:rPr>
            </w:pPr>
            <w:r>
              <w:rPr>
                <w:color w:val="auto"/>
                <w:szCs w:val="21"/>
              </w:rPr>
              <w:t>排放口（编号、名称）/污染源</w:t>
            </w:r>
          </w:p>
        </w:tc>
        <w:tc>
          <w:tcPr>
            <w:tcW w:w="1670" w:type="dxa"/>
            <w:noWrap/>
            <w:vAlign w:val="center"/>
          </w:tcPr>
          <w:p>
            <w:pPr>
              <w:adjustRightInd w:val="0"/>
              <w:snapToGrid w:val="0"/>
              <w:jc w:val="center"/>
              <w:rPr>
                <w:color w:val="auto"/>
                <w:szCs w:val="21"/>
              </w:rPr>
            </w:pPr>
            <w:r>
              <w:rPr>
                <w:color w:val="auto"/>
                <w:szCs w:val="21"/>
              </w:rPr>
              <w:t>污染物项目</w:t>
            </w:r>
          </w:p>
        </w:tc>
        <w:tc>
          <w:tcPr>
            <w:tcW w:w="1877" w:type="dxa"/>
            <w:noWrap/>
            <w:vAlign w:val="center"/>
          </w:tcPr>
          <w:p>
            <w:pPr>
              <w:adjustRightInd w:val="0"/>
              <w:snapToGrid w:val="0"/>
              <w:jc w:val="center"/>
              <w:rPr>
                <w:color w:val="auto"/>
                <w:szCs w:val="21"/>
              </w:rPr>
            </w:pPr>
            <w:r>
              <w:rPr>
                <w:color w:val="auto"/>
                <w:szCs w:val="21"/>
              </w:rPr>
              <w:t>环境保护措施</w:t>
            </w:r>
          </w:p>
        </w:tc>
        <w:tc>
          <w:tcPr>
            <w:tcW w:w="2309" w:type="dxa"/>
            <w:noWrap/>
            <w:vAlign w:val="center"/>
          </w:tcPr>
          <w:p>
            <w:pPr>
              <w:adjustRightInd w:val="0"/>
              <w:snapToGrid w:val="0"/>
              <w:jc w:val="center"/>
              <w:rPr>
                <w:color w:val="auto"/>
                <w:szCs w:val="21"/>
              </w:rPr>
            </w:pPr>
            <w:r>
              <w:rPr>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479" w:type="dxa"/>
            <w:noWrap/>
            <w:vAlign w:val="center"/>
          </w:tcPr>
          <w:p>
            <w:pPr>
              <w:adjustRightInd w:val="0"/>
              <w:snapToGrid w:val="0"/>
              <w:jc w:val="center"/>
              <w:rPr>
                <w:color w:val="auto"/>
                <w:szCs w:val="21"/>
              </w:rPr>
            </w:pPr>
            <w:r>
              <w:rPr>
                <w:color w:val="auto"/>
                <w:szCs w:val="21"/>
              </w:rPr>
              <w:t>大气环境</w:t>
            </w:r>
          </w:p>
        </w:tc>
        <w:tc>
          <w:tcPr>
            <w:tcW w:w="7321" w:type="dxa"/>
            <w:gridSpan w:val="4"/>
            <w:noWrap/>
            <w:vAlign w:val="center"/>
          </w:tcPr>
          <w:p>
            <w:pPr>
              <w:widowControl/>
              <w:jc w:val="center"/>
              <w:rPr>
                <w:color w:val="auto"/>
                <w:szCs w:val="21"/>
              </w:rPr>
            </w:pPr>
            <w:r>
              <w:rPr>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479" w:type="dxa"/>
            <w:noWrap/>
            <w:vAlign w:val="center"/>
          </w:tcPr>
          <w:p>
            <w:pPr>
              <w:adjustRightInd w:val="0"/>
              <w:snapToGrid w:val="0"/>
              <w:jc w:val="center"/>
              <w:rPr>
                <w:color w:val="auto"/>
                <w:szCs w:val="21"/>
              </w:rPr>
            </w:pPr>
            <w:r>
              <w:rPr>
                <w:color w:val="auto"/>
                <w:szCs w:val="21"/>
              </w:rPr>
              <w:t>地表水环境</w:t>
            </w:r>
          </w:p>
        </w:tc>
        <w:tc>
          <w:tcPr>
            <w:tcW w:w="7321" w:type="dxa"/>
            <w:gridSpan w:val="4"/>
            <w:noWrap/>
            <w:vAlign w:val="center"/>
          </w:tcPr>
          <w:p>
            <w:pPr>
              <w:adjustRightInd w:val="0"/>
              <w:snapToGrid w:val="0"/>
              <w:jc w:val="center"/>
              <w:rPr>
                <w:color w:val="auto"/>
                <w:szCs w:val="21"/>
              </w:rPr>
            </w:pPr>
            <w:r>
              <w:rPr>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79" w:type="dxa"/>
            <w:noWrap/>
            <w:vAlign w:val="center"/>
          </w:tcPr>
          <w:p>
            <w:pPr>
              <w:adjustRightInd w:val="0"/>
              <w:snapToGrid w:val="0"/>
              <w:jc w:val="center"/>
              <w:rPr>
                <w:color w:val="auto"/>
                <w:szCs w:val="21"/>
              </w:rPr>
            </w:pPr>
            <w:r>
              <w:rPr>
                <w:color w:val="auto"/>
                <w:szCs w:val="21"/>
              </w:rPr>
              <w:t>声环境</w:t>
            </w:r>
          </w:p>
        </w:tc>
        <w:tc>
          <w:tcPr>
            <w:tcW w:w="1465" w:type="dxa"/>
            <w:noWrap/>
            <w:vAlign w:val="center"/>
          </w:tcPr>
          <w:p>
            <w:pPr>
              <w:pStyle w:val="46"/>
              <w:rPr>
                <w:rFonts w:ascii="Times New Roman" w:hAnsi="Times New Roman" w:cs="Times New Roman"/>
                <w:color w:val="auto"/>
                <w:sz w:val="21"/>
                <w:szCs w:val="21"/>
              </w:rPr>
            </w:pPr>
            <w:r>
              <w:rPr>
                <w:rFonts w:ascii="Times New Roman" w:hAnsi="Times New Roman" w:cs="Times New Roman"/>
                <w:color w:val="auto"/>
                <w:spacing w:val="-2"/>
                <w:sz w:val="21"/>
                <w:szCs w:val="21"/>
              </w:rPr>
              <w:t>厂界四周</w:t>
            </w:r>
          </w:p>
        </w:tc>
        <w:tc>
          <w:tcPr>
            <w:tcW w:w="1670" w:type="dxa"/>
            <w:noWrap/>
            <w:vAlign w:val="center"/>
          </w:tcPr>
          <w:p>
            <w:pPr>
              <w:adjustRightInd w:val="0"/>
              <w:snapToGrid w:val="0"/>
              <w:jc w:val="center"/>
              <w:rPr>
                <w:color w:val="auto"/>
                <w:spacing w:val="-2"/>
                <w:szCs w:val="21"/>
              </w:rPr>
            </w:pPr>
            <w:r>
              <w:rPr>
                <w:color w:val="auto"/>
                <w:szCs w:val="21"/>
              </w:rPr>
              <w:t>噪声</w:t>
            </w:r>
          </w:p>
        </w:tc>
        <w:tc>
          <w:tcPr>
            <w:tcW w:w="1877" w:type="dxa"/>
            <w:noWrap/>
            <w:vAlign w:val="center"/>
          </w:tcPr>
          <w:p>
            <w:pPr>
              <w:adjustRightInd w:val="0"/>
              <w:snapToGrid w:val="0"/>
              <w:jc w:val="center"/>
              <w:rPr>
                <w:color w:val="auto"/>
                <w:spacing w:val="-2"/>
                <w:szCs w:val="21"/>
              </w:rPr>
            </w:pPr>
            <w:r>
              <w:rPr>
                <w:color w:val="auto"/>
                <w:spacing w:val="-3"/>
                <w:szCs w:val="21"/>
              </w:rPr>
              <w:t>噪声经合理布局、</w:t>
            </w:r>
            <w:r>
              <w:rPr>
                <w:color w:val="auto"/>
                <w:spacing w:val="-2"/>
                <w:szCs w:val="21"/>
              </w:rPr>
              <w:t>减</w:t>
            </w:r>
            <w:r>
              <w:rPr>
                <w:color w:val="auto"/>
                <w:spacing w:val="-1"/>
                <w:szCs w:val="21"/>
              </w:rPr>
              <w:t>震、隔声</w:t>
            </w:r>
            <w:r>
              <w:rPr>
                <w:color w:val="auto"/>
                <w:szCs w:val="21"/>
              </w:rPr>
              <w:t>以及几何衰</w:t>
            </w:r>
            <w:r>
              <w:rPr>
                <w:color w:val="auto"/>
                <w:spacing w:val="-1"/>
                <w:szCs w:val="21"/>
              </w:rPr>
              <w:t>减，厂界噪声</w:t>
            </w:r>
            <w:r>
              <w:rPr>
                <w:color w:val="auto"/>
                <w:szCs w:val="21"/>
              </w:rPr>
              <w:t>可达到工</w:t>
            </w:r>
            <w:r>
              <w:rPr>
                <w:color w:val="auto"/>
                <w:spacing w:val="-1"/>
                <w:szCs w:val="21"/>
              </w:rPr>
              <w:t>业企业厂界噪</w:t>
            </w:r>
            <w:r>
              <w:rPr>
                <w:color w:val="auto"/>
                <w:szCs w:val="21"/>
              </w:rPr>
              <w:t>声相应标准</w:t>
            </w:r>
          </w:p>
        </w:tc>
        <w:tc>
          <w:tcPr>
            <w:tcW w:w="2309" w:type="dxa"/>
            <w:noWrap/>
            <w:vAlign w:val="center"/>
          </w:tcPr>
          <w:p>
            <w:pPr>
              <w:adjustRightInd w:val="0"/>
              <w:snapToGrid w:val="0"/>
              <w:jc w:val="center"/>
              <w:rPr>
                <w:color w:val="auto"/>
                <w:spacing w:val="-2"/>
                <w:szCs w:val="21"/>
              </w:rPr>
            </w:pPr>
            <w:r>
              <w:rPr>
                <w:color w:val="auto"/>
                <w:szCs w:val="21"/>
              </w:rPr>
              <w:t>《工业企业厂界环境噪声排放标准》（GB12348-2008）3类标准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479" w:type="dxa"/>
            <w:noWrap/>
            <w:vAlign w:val="center"/>
          </w:tcPr>
          <w:p>
            <w:pPr>
              <w:adjustRightInd w:val="0"/>
              <w:snapToGrid w:val="0"/>
              <w:jc w:val="center"/>
              <w:rPr>
                <w:color w:val="auto"/>
                <w:szCs w:val="21"/>
              </w:rPr>
            </w:pPr>
            <w:r>
              <w:rPr>
                <w:color w:val="auto"/>
                <w:szCs w:val="21"/>
              </w:rPr>
              <w:t>电磁辐射</w:t>
            </w:r>
          </w:p>
        </w:tc>
        <w:tc>
          <w:tcPr>
            <w:tcW w:w="7321" w:type="dxa"/>
            <w:gridSpan w:val="4"/>
            <w:noWrap/>
            <w:vAlign w:val="center"/>
          </w:tcPr>
          <w:p>
            <w:pPr>
              <w:adjustRightInd w:val="0"/>
              <w:snapToGrid w:val="0"/>
              <w:jc w:val="center"/>
              <w:rPr>
                <w:color w:val="auto"/>
                <w:szCs w:val="21"/>
              </w:rPr>
            </w:pPr>
            <w:r>
              <w:rPr>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479" w:type="dxa"/>
            <w:noWrap/>
            <w:vAlign w:val="center"/>
          </w:tcPr>
          <w:p>
            <w:pPr>
              <w:adjustRightInd w:val="0"/>
              <w:snapToGrid w:val="0"/>
              <w:jc w:val="center"/>
              <w:rPr>
                <w:color w:val="auto"/>
                <w:szCs w:val="21"/>
              </w:rPr>
            </w:pPr>
            <w:r>
              <w:rPr>
                <w:color w:val="auto"/>
                <w:szCs w:val="21"/>
              </w:rPr>
              <w:t>固体废物</w:t>
            </w:r>
          </w:p>
        </w:tc>
        <w:tc>
          <w:tcPr>
            <w:tcW w:w="7321" w:type="dxa"/>
            <w:gridSpan w:val="4"/>
            <w:noWrap/>
            <w:vAlign w:val="center"/>
          </w:tcPr>
          <w:p>
            <w:pPr>
              <w:pStyle w:val="46"/>
              <w:spacing w:beforeLines="50" w:line="240" w:lineRule="auto"/>
              <w:ind w:left="0" w:leftChars="0"/>
              <w:rPr>
                <w:rFonts w:ascii="Times New Roman" w:hAnsi="Times New Roman" w:cs="Times New Roman"/>
                <w:color w:val="auto"/>
                <w:sz w:val="21"/>
                <w:szCs w:val="21"/>
              </w:rPr>
            </w:pPr>
            <w:r>
              <w:rPr>
                <w:rFonts w:hint="eastAsia" w:ascii="Times New Roman" w:hAnsi="Times New Roman" w:cs="Times New Roman"/>
                <w:color w:val="auto"/>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1479" w:type="dxa"/>
            <w:noWrap/>
            <w:vAlign w:val="center"/>
          </w:tcPr>
          <w:p>
            <w:pPr>
              <w:adjustRightInd w:val="0"/>
              <w:snapToGrid w:val="0"/>
              <w:jc w:val="center"/>
              <w:rPr>
                <w:color w:val="auto"/>
                <w:szCs w:val="21"/>
              </w:rPr>
            </w:pPr>
            <w:r>
              <w:rPr>
                <w:color w:val="auto"/>
                <w:szCs w:val="21"/>
              </w:rPr>
              <w:t>土壤及地下水污染防治措施</w:t>
            </w:r>
          </w:p>
        </w:tc>
        <w:tc>
          <w:tcPr>
            <w:tcW w:w="7321" w:type="dxa"/>
            <w:gridSpan w:val="4"/>
            <w:noWrap/>
            <w:vAlign w:val="center"/>
          </w:tcPr>
          <w:p>
            <w:pPr>
              <w:adjustRightInd w:val="0"/>
              <w:snapToGrid w:val="0"/>
              <w:spacing w:line="360" w:lineRule="auto"/>
              <w:ind w:firstLine="420" w:firstLineChars="200"/>
              <w:jc w:val="left"/>
              <w:rPr>
                <w:color w:val="auto"/>
                <w:kern w:val="0"/>
                <w:szCs w:val="21"/>
              </w:rPr>
            </w:pPr>
            <w:r>
              <w:rPr>
                <w:color w:val="auto"/>
                <w:kern w:val="0"/>
                <w:szCs w:val="21"/>
              </w:rPr>
              <w:t>①企业危险化学品专用仓库</w:t>
            </w:r>
            <w:r>
              <w:rPr>
                <w:rFonts w:hint="eastAsia"/>
                <w:color w:val="auto"/>
              </w:rPr>
              <w:t>及现有危废仓库</w:t>
            </w:r>
            <w:r>
              <w:rPr>
                <w:color w:val="auto"/>
                <w:kern w:val="0"/>
                <w:szCs w:val="21"/>
              </w:rPr>
              <w:t>做好重点防渗，地面铺设环氧地坪等，做好防渗、防漏、防腐蚀、防晒、防淋等措施；</w:t>
            </w:r>
          </w:p>
          <w:p>
            <w:pPr>
              <w:adjustRightInd w:val="0"/>
              <w:snapToGrid w:val="0"/>
              <w:spacing w:line="360" w:lineRule="auto"/>
              <w:ind w:firstLine="420" w:firstLineChars="200"/>
              <w:jc w:val="left"/>
              <w:rPr>
                <w:color w:val="auto"/>
                <w:kern w:val="0"/>
                <w:szCs w:val="21"/>
              </w:rPr>
            </w:pPr>
            <w:r>
              <w:rPr>
                <w:color w:val="auto"/>
                <w:kern w:val="0"/>
                <w:szCs w:val="21"/>
              </w:rPr>
              <w:t>②企业危险化学品专用仓库内物料分区存放；</w:t>
            </w:r>
          </w:p>
          <w:p>
            <w:pPr>
              <w:adjustRightInd w:val="0"/>
              <w:snapToGrid w:val="0"/>
              <w:spacing w:line="360" w:lineRule="auto"/>
              <w:ind w:firstLine="420" w:firstLineChars="200"/>
              <w:jc w:val="left"/>
              <w:rPr>
                <w:color w:val="auto"/>
                <w:szCs w:val="21"/>
              </w:rPr>
            </w:pPr>
            <w:r>
              <w:rPr>
                <w:color w:val="auto"/>
                <w:kern w:val="0"/>
                <w:szCs w:val="21"/>
              </w:rPr>
              <w:t>③定期对污水管网进行检查维护，保证污水能够顺畅排入市政污水管网。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1479" w:type="dxa"/>
            <w:noWrap/>
            <w:vAlign w:val="center"/>
          </w:tcPr>
          <w:p>
            <w:pPr>
              <w:adjustRightInd w:val="0"/>
              <w:snapToGrid w:val="0"/>
              <w:jc w:val="center"/>
              <w:rPr>
                <w:color w:val="auto"/>
                <w:szCs w:val="21"/>
              </w:rPr>
            </w:pPr>
            <w:r>
              <w:rPr>
                <w:color w:val="auto"/>
                <w:szCs w:val="21"/>
              </w:rPr>
              <w:t>生态保护措施</w:t>
            </w:r>
          </w:p>
        </w:tc>
        <w:tc>
          <w:tcPr>
            <w:tcW w:w="7321" w:type="dxa"/>
            <w:gridSpan w:val="4"/>
            <w:noWrap/>
            <w:vAlign w:val="center"/>
          </w:tcPr>
          <w:p>
            <w:pPr>
              <w:adjustRightInd w:val="0"/>
              <w:snapToGrid w:val="0"/>
              <w:jc w:val="center"/>
              <w:rPr>
                <w:color w:val="auto"/>
                <w:szCs w:val="21"/>
              </w:rPr>
            </w:pPr>
            <w:r>
              <w:rPr>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479" w:type="dxa"/>
            <w:noWrap/>
            <w:vAlign w:val="center"/>
          </w:tcPr>
          <w:p>
            <w:pPr>
              <w:adjustRightInd w:val="0"/>
              <w:snapToGrid w:val="0"/>
              <w:jc w:val="center"/>
              <w:rPr>
                <w:color w:val="auto"/>
                <w:spacing w:val="-8"/>
                <w:szCs w:val="21"/>
              </w:rPr>
            </w:pPr>
            <w:r>
              <w:rPr>
                <w:color w:val="auto"/>
                <w:spacing w:val="-8"/>
                <w:szCs w:val="21"/>
              </w:rPr>
              <w:t>环境风险</w:t>
            </w:r>
          </w:p>
          <w:p>
            <w:pPr>
              <w:adjustRightInd w:val="0"/>
              <w:snapToGrid w:val="0"/>
              <w:jc w:val="center"/>
              <w:rPr>
                <w:color w:val="auto"/>
                <w:spacing w:val="-8"/>
                <w:szCs w:val="21"/>
              </w:rPr>
            </w:pPr>
            <w:r>
              <w:rPr>
                <w:color w:val="auto"/>
                <w:spacing w:val="-8"/>
                <w:szCs w:val="21"/>
              </w:rPr>
              <w:t>防范措施</w:t>
            </w:r>
          </w:p>
        </w:tc>
        <w:tc>
          <w:tcPr>
            <w:tcW w:w="7321" w:type="dxa"/>
            <w:gridSpan w:val="4"/>
            <w:noWrap/>
            <w:vAlign w:val="center"/>
          </w:tcPr>
          <w:p>
            <w:pPr>
              <w:adjustRightInd w:val="0"/>
              <w:snapToGrid w:val="0"/>
              <w:spacing w:line="360" w:lineRule="auto"/>
              <w:ind w:firstLine="420" w:firstLineChars="200"/>
              <w:jc w:val="left"/>
              <w:rPr>
                <w:color w:val="auto"/>
                <w:kern w:val="0"/>
                <w:szCs w:val="21"/>
              </w:rPr>
            </w:pPr>
            <w:r>
              <w:rPr>
                <w:rFonts w:hint="eastAsia"/>
                <w:color w:val="auto"/>
                <w:kern w:val="0"/>
                <w:szCs w:val="21"/>
              </w:rPr>
              <w:t>1、厂房建设及总体布局应按照《工业企业总平面设计规范》《建筑设计防火规范》等国家有关法规及技术标准的相关规定执行；</w:t>
            </w:r>
          </w:p>
          <w:p>
            <w:pPr>
              <w:adjustRightInd w:val="0"/>
              <w:snapToGrid w:val="0"/>
              <w:spacing w:line="360" w:lineRule="auto"/>
              <w:ind w:firstLine="420" w:firstLineChars="200"/>
              <w:jc w:val="left"/>
              <w:rPr>
                <w:color w:val="auto"/>
                <w:kern w:val="0"/>
                <w:szCs w:val="21"/>
              </w:rPr>
            </w:pPr>
            <w:r>
              <w:rPr>
                <w:rFonts w:hint="eastAsia"/>
                <w:color w:val="auto"/>
                <w:kern w:val="0"/>
                <w:szCs w:val="21"/>
              </w:rPr>
              <w:t>2、生产装置的供电、供水等公用设施加强日常管理，确保满足正常生产和事故状态下的要求；</w:t>
            </w:r>
          </w:p>
          <w:p>
            <w:pPr>
              <w:adjustRightInd w:val="0"/>
              <w:snapToGrid w:val="0"/>
              <w:spacing w:line="360" w:lineRule="auto"/>
              <w:ind w:firstLine="420" w:firstLineChars="200"/>
              <w:jc w:val="left"/>
              <w:rPr>
                <w:color w:val="auto"/>
                <w:kern w:val="0"/>
                <w:szCs w:val="21"/>
              </w:rPr>
            </w:pPr>
            <w:r>
              <w:rPr>
                <w:rFonts w:hint="eastAsia"/>
                <w:color w:val="auto"/>
                <w:kern w:val="0"/>
                <w:szCs w:val="21"/>
              </w:rPr>
              <w:t>3、健全雨、污管网系统，在雨水管网的总出口前端设置雨、污切换阀门，防止有毒物质和消防废水排入外环境；</w:t>
            </w:r>
          </w:p>
          <w:p>
            <w:pPr>
              <w:adjustRightInd w:val="0"/>
              <w:snapToGrid w:val="0"/>
              <w:spacing w:line="360" w:lineRule="auto"/>
              <w:ind w:firstLine="420" w:firstLineChars="200"/>
              <w:jc w:val="left"/>
              <w:rPr>
                <w:color w:val="auto"/>
                <w:kern w:val="0"/>
                <w:szCs w:val="21"/>
              </w:rPr>
            </w:pPr>
            <w:r>
              <w:rPr>
                <w:rFonts w:hint="eastAsia"/>
                <w:color w:val="auto"/>
                <w:kern w:val="0"/>
                <w:szCs w:val="21"/>
              </w:rPr>
              <w:t>4、制定风险防范措施，编制突发环境事件应急预案，成立事故应急小组，建立岗位责任制，加强应急物资装备储存，定期展开演练；</w:t>
            </w:r>
          </w:p>
          <w:p>
            <w:pPr>
              <w:adjustRightInd w:val="0"/>
              <w:snapToGrid w:val="0"/>
              <w:spacing w:line="360" w:lineRule="auto"/>
              <w:ind w:firstLine="420" w:firstLineChars="200"/>
              <w:jc w:val="left"/>
              <w:rPr>
                <w:color w:val="auto"/>
                <w:kern w:val="0"/>
                <w:szCs w:val="21"/>
              </w:rPr>
            </w:pPr>
            <w:r>
              <w:rPr>
                <w:rFonts w:hint="eastAsia"/>
                <w:color w:val="auto"/>
                <w:kern w:val="0"/>
                <w:szCs w:val="21"/>
              </w:rPr>
              <w:t>5、各生产单元严禁明火，并配置足量的泡沫、干粉等灭火器；</w:t>
            </w:r>
          </w:p>
          <w:p>
            <w:pPr>
              <w:adjustRightInd w:val="0"/>
              <w:snapToGrid w:val="0"/>
              <w:spacing w:line="360" w:lineRule="auto"/>
              <w:ind w:firstLine="420" w:firstLineChars="200"/>
              <w:jc w:val="left"/>
              <w:rPr>
                <w:color w:val="auto"/>
                <w:szCs w:val="21"/>
              </w:rPr>
            </w:pPr>
            <w:r>
              <w:rPr>
                <w:rFonts w:hint="eastAsia"/>
                <w:color w:val="auto"/>
                <w:kern w:val="0"/>
                <w:szCs w:val="21"/>
              </w:rPr>
              <w:t>6、危险单元地面全部做硬化防渗处理，设置防泄漏沟和收集池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479" w:type="dxa"/>
            <w:noWrap/>
            <w:vAlign w:val="center"/>
          </w:tcPr>
          <w:p>
            <w:pPr>
              <w:adjustRightInd w:val="0"/>
              <w:snapToGrid w:val="0"/>
              <w:jc w:val="center"/>
              <w:rPr>
                <w:color w:val="auto"/>
                <w:spacing w:val="-8"/>
                <w:szCs w:val="21"/>
              </w:rPr>
            </w:pPr>
            <w:r>
              <w:rPr>
                <w:color w:val="auto"/>
                <w:spacing w:val="-8"/>
                <w:szCs w:val="21"/>
              </w:rPr>
              <w:t>其他环境</w:t>
            </w:r>
          </w:p>
          <w:p>
            <w:pPr>
              <w:adjustRightInd w:val="0"/>
              <w:snapToGrid w:val="0"/>
              <w:jc w:val="center"/>
              <w:rPr>
                <w:color w:val="auto"/>
                <w:spacing w:val="-8"/>
                <w:szCs w:val="21"/>
              </w:rPr>
            </w:pPr>
            <w:r>
              <w:rPr>
                <w:color w:val="auto"/>
                <w:spacing w:val="-8"/>
                <w:szCs w:val="21"/>
              </w:rPr>
              <w:t>管理要求</w:t>
            </w:r>
          </w:p>
        </w:tc>
        <w:tc>
          <w:tcPr>
            <w:tcW w:w="7321" w:type="dxa"/>
            <w:gridSpan w:val="4"/>
            <w:noWrap/>
            <w:vAlign w:val="center"/>
          </w:tcPr>
          <w:p>
            <w:pPr>
              <w:adjustRightInd w:val="0"/>
              <w:snapToGrid w:val="0"/>
              <w:spacing w:line="360" w:lineRule="auto"/>
              <w:ind w:firstLine="420" w:firstLineChars="200"/>
              <w:jc w:val="left"/>
              <w:rPr>
                <w:color w:val="auto"/>
                <w:kern w:val="0"/>
                <w:szCs w:val="21"/>
              </w:rPr>
            </w:pPr>
            <w:r>
              <w:rPr>
                <w:rFonts w:hint="eastAsia"/>
                <w:color w:val="auto"/>
                <w:kern w:val="0"/>
                <w:szCs w:val="21"/>
              </w:rPr>
              <w:t>①环境管理机构设置为了本项目在营运期能更好地执行和遵守国家、省及地方的有关环境保护法律法规、政策及标准，接受地方环境保护主管部门的环境监督，调整和制订环境规划和目标，进行一切与改善环境有关的管理活动，同时对工程施工及营运期产生的污染物进行监测、分析、了解工程对环境的影响状况公司应设置专门的环保管理部门，并配备一名专职环境管理人员，同时需负责厂区内污染防治设施运行管理。由于环保工作政策性强，涉及多学科、综合性知识，建议该项目的专职环境管理人员选用具备环保专业知识并有一定工作经验的专业人员担任。</w:t>
            </w:r>
          </w:p>
          <w:p>
            <w:pPr>
              <w:adjustRightInd w:val="0"/>
              <w:snapToGrid w:val="0"/>
              <w:spacing w:line="360" w:lineRule="auto"/>
              <w:ind w:firstLine="420" w:firstLineChars="200"/>
              <w:jc w:val="left"/>
              <w:rPr>
                <w:color w:val="auto"/>
                <w:kern w:val="0"/>
                <w:szCs w:val="21"/>
              </w:rPr>
            </w:pPr>
            <w:r>
              <w:rPr>
                <w:rFonts w:hint="eastAsia"/>
                <w:color w:val="auto"/>
                <w:kern w:val="0"/>
                <w:szCs w:val="21"/>
              </w:rPr>
              <w:t>②环境管理制度贯彻执行“三同时”制度：设计单位必须将环境保护设施与主体工程同时设计，工程建设单位必须保证防治污染设施与主体工程同时施工、同时投入运行，工程竣工后，应提交竣工环保验收报告，经环保主管部门验收合格后，方可投入运行。执行排污申报登记：按照国家和地方环境保护规定，企业应及时向当地环境保护部门进行污染物排放申报登记。经环保部门批准后，方可按分配的指标排放。建立企业环保档案：企业应制定严格的环境管理与环境监测计划，并以扎实的工作保证企业各项环保措施以及环境管理与环境监测计划得以认真落实，才能有效地控制和减轻污染，保护环境；只有通过规范和约束企业的环境行为，才能使企业真正实现社会、经济和环境效益的协调发展，走可持续发展的道路。</w:t>
            </w:r>
          </w:p>
          <w:p>
            <w:pPr>
              <w:adjustRightInd w:val="0"/>
              <w:snapToGrid w:val="0"/>
              <w:spacing w:line="360" w:lineRule="auto"/>
              <w:ind w:firstLine="420" w:firstLineChars="200"/>
              <w:jc w:val="left"/>
              <w:rPr>
                <w:color w:val="auto"/>
                <w:szCs w:val="21"/>
              </w:rPr>
            </w:pPr>
            <w:r>
              <w:rPr>
                <w:rFonts w:hint="eastAsia"/>
                <w:color w:val="auto"/>
                <w:kern w:val="0"/>
                <w:szCs w:val="21"/>
              </w:rPr>
              <w:t>③环境保护设施必须与主体工程同时设计、同时施工、同时投产使用，按照《建设项目竣工环境保护验收暂行办法》办理环境保护设施竣工验收，经验收合格方可投入生产</w:t>
            </w:r>
            <w:r>
              <w:rPr>
                <w:color w:val="auto"/>
                <w:kern w:val="0"/>
                <w:szCs w:val="21"/>
              </w:rPr>
              <w:t>。</w:t>
            </w:r>
          </w:p>
        </w:tc>
      </w:tr>
    </w:tbl>
    <w:p>
      <w:pPr>
        <w:pStyle w:val="16"/>
        <w:adjustRightInd w:val="0"/>
        <w:snapToGrid w:val="0"/>
        <w:spacing w:beforeLines="50" w:beforeAutospacing="0" w:afterLines="50" w:afterAutospacing="0"/>
        <w:jc w:val="center"/>
        <w:outlineLvl w:val="0"/>
        <w:rPr>
          <w:rFonts w:ascii="Times New Roman" w:hAnsi="Times New Roman"/>
          <w:snapToGrid w:val="0"/>
          <w:color w:val="auto"/>
          <w:sz w:val="30"/>
          <w:szCs w:val="30"/>
        </w:rPr>
      </w:pPr>
      <w:r>
        <w:rPr>
          <w:rFonts w:ascii="Times New Roman" w:hAnsi="Times New Roman"/>
          <w:snapToGrid w:val="0"/>
          <w:color w:val="auto"/>
        </w:rPr>
        <w:br w:type="page"/>
      </w:r>
      <w:r>
        <w:rPr>
          <w:rFonts w:ascii="Times New Roman" w:hAnsi="Times New Roman"/>
          <w:snapToGrid w:val="0"/>
          <w:color w:val="auto"/>
          <w:sz w:val="30"/>
          <w:szCs w:val="30"/>
        </w:rPr>
        <w:t>六、结论</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tcPr>
          <w:p>
            <w:pPr>
              <w:spacing w:beforeLines="50" w:line="360" w:lineRule="auto"/>
              <w:ind w:firstLine="476" w:firstLineChars="200"/>
              <w:rPr>
                <w:color w:val="auto"/>
                <w:sz w:val="24"/>
              </w:rPr>
            </w:pPr>
            <w:r>
              <w:rPr>
                <w:color w:val="auto"/>
                <w:spacing w:val="-1"/>
                <w:sz w:val="24"/>
              </w:rPr>
              <w:t>综上所述，该</w:t>
            </w:r>
            <w:r>
              <w:rPr>
                <w:color w:val="auto"/>
                <w:sz w:val="24"/>
              </w:rPr>
              <w:t>项目属于</w:t>
            </w:r>
            <w:r>
              <w:rPr>
                <w:rFonts w:hint="eastAsia"/>
                <w:color w:val="auto"/>
                <w:sz w:val="24"/>
              </w:rPr>
              <w:t>新建自用危险化学品专用仓库</w:t>
            </w:r>
            <w:r>
              <w:rPr>
                <w:color w:val="auto"/>
                <w:sz w:val="24"/>
              </w:rPr>
              <w:t>项目，用于存储企业</w:t>
            </w:r>
            <w:r>
              <w:rPr>
                <w:rFonts w:hint="eastAsia"/>
                <w:color w:val="auto"/>
                <w:sz w:val="24"/>
              </w:rPr>
              <w:t>的化学品</w:t>
            </w:r>
            <w:r>
              <w:rPr>
                <w:color w:val="auto"/>
                <w:spacing w:val="-1"/>
                <w:sz w:val="24"/>
              </w:rPr>
              <w:t>。项目在总体污染程度</w:t>
            </w:r>
            <w:r>
              <w:rPr>
                <w:color w:val="auto"/>
                <w:sz w:val="24"/>
              </w:rPr>
              <w:t>较低，项目符合国家和地方的相关产业政策，选址符</w:t>
            </w:r>
            <w:r>
              <w:rPr>
                <w:color w:val="auto"/>
                <w:spacing w:val="-1"/>
                <w:sz w:val="24"/>
              </w:rPr>
              <w:t>合</w:t>
            </w:r>
            <w:r>
              <w:rPr>
                <w:rFonts w:hint="eastAsia"/>
                <w:color w:val="auto"/>
                <w:spacing w:val="-1"/>
                <w:sz w:val="24"/>
              </w:rPr>
              <w:t>“</w:t>
            </w:r>
            <w:r>
              <w:rPr>
                <w:color w:val="auto"/>
                <w:spacing w:val="-1"/>
                <w:sz w:val="24"/>
              </w:rPr>
              <w:t>三线</w:t>
            </w:r>
            <w:r>
              <w:rPr>
                <w:color w:val="auto"/>
                <w:sz w:val="24"/>
              </w:rPr>
              <w:t>一单</w:t>
            </w:r>
            <w:r>
              <w:rPr>
                <w:rFonts w:hint="eastAsia"/>
                <w:color w:val="auto"/>
                <w:sz w:val="24"/>
              </w:rPr>
              <w:t>”</w:t>
            </w:r>
            <w:r>
              <w:rPr>
                <w:color w:val="auto"/>
                <w:sz w:val="24"/>
              </w:rPr>
              <w:t>和当地规划，项目运营过程中无废水、废气排放，不会改变当地环</w:t>
            </w:r>
            <w:r>
              <w:rPr>
                <w:color w:val="auto"/>
                <w:spacing w:val="-1"/>
                <w:sz w:val="24"/>
              </w:rPr>
              <w:t>境功能区</w:t>
            </w:r>
            <w:r>
              <w:rPr>
                <w:color w:val="auto"/>
                <w:sz w:val="24"/>
              </w:rPr>
              <w:t>划，项目的环境风险较小且可以接受。在落实本报告表提出的各项污染防</w:t>
            </w:r>
            <w:r>
              <w:rPr>
                <w:color w:val="auto"/>
                <w:spacing w:val="-6"/>
                <w:sz w:val="24"/>
              </w:rPr>
              <w:t>治措施、</w:t>
            </w:r>
            <w:r>
              <w:rPr>
                <w:color w:val="auto"/>
                <w:spacing w:val="-4"/>
                <w:sz w:val="24"/>
              </w:rPr>
              <w:t>严</w:t>
            </w:r>
            <w:r>
              <w:rPr>
                <w:color w:val="auto"/>
                <w:spacing w:val="-3"/>
                <w:sz w:val="24"/>
              </w:rPr>
              <w:t>格执行</w:t>
            </w:r>
            <w:r>
              <w:rPr>
                <w:rFonts w:hint="eastAsia"/>
                <w:color w:val="auto"/>
                <w:spacing w:val="-3"/>
                <w:sz w:val="24"/>
              </w:rPr>
              <w:t>“</w:t>
            </w:r>
            <w:r>
              <w:rPr>
                <w:color w:val="auto"/>
                <w:spacing w:val="-3"/>
                <w:sz w:val="24"/>
              </w:rPr>
              <w:t>三同时</w:t>
            </w:r>
            <w:r>
              <w:rPr>
                <w:rFonts w:hint="eastAsia"/>
                <w:color w:val="auto"/>
                <w:spacing w:val="-3"/>
                <w:sz w:val="24"/>
              </w:rPr>
              <w:t>”</w:t>
            </w:r>
            <w:r>
              <w:rPr>
                <w:color w:val="auto"/>
                <w:spacing w:val="-3"/>
                <w:sz w:val="24"/>
              </w:rPr>
              <w:t>制度的情况下，从环保角度分析，项目在拟建地的建</w:t>
            </w:r>
            <w:r>
              <w:rPr>
                <w:color w:val="auto"/>
                <w:spacing w:val="-8"/>
                <w:sz w:val="24"/>
              </w:rPr>
              <w:t>设</w:t>
            </w:r>
            <w:r>
              <w:rPr>
                <w:color w:val="auto"/>
                <w:spacing w:val="-5"/>
                <w:sz w:val="24"/>
              </w:rPr>
              <w:t>具</w:t>
            </w:r>
            <w:r>
              <w:rPr>
                <w:color w:val="auto"/>
                <w:spacing w:val="-4"/>
                <w:sz w:val="24"/>
              </w:rPr>
              <w:t>备环境可行性。</w:t>
            </w:r>
          </w:p>
        </w:tc>
      </w:tr>
    </w:tbl>
    <w:p>
      <w:pPr>
        <w:rPr>
          <w:color w:val="auto"/>
        </w:rPr>
        <w:sectPr>
          <w:pgSz w:w="11906" w:h="16838"/>
          <w:pgMar w:top="1701" w:right="1531" w:bottom="1701" w:left="1531" w:header="851" w:footer="851" w:gutter="0"/>
          <w:cols w:space="720" w:num="1"/>
          <w:docGrid w:linePitch="312" w:charSpace="0"/>
        </w:sect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ign w:val="top"/>
          </w:tcPr>
          <w:p>
            <w:pPr>
              <w:pStyle w:val="46"/>
              <w:jc w:val="both"/>
              <w:rPr>
                <w:rFonts w:hint="default" w:ascii="Times New Roman" w:hAnsi="Times New Roman" w:eastAsia="宋体" w:cs="Times New Roman"/>
                <w:color w:val="auto"/>
              </w:rPr>
            </w:pPr>
            <w:r>
              <w:rPr>
                <w:rFonts w:hint="default" w:ascii="Times New Roman" w:hAnsi="Times New Roman" w:eastAsia="宋体" w:cs="Times New Roman"/>
                <w:color w:val="auto"/>
              </w:rPr>
              <w:t>预审意见：</w:t>
            </w: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ind w:firstLine="6240" w:firstLineChars="2600"/>
              <w:jc w:val="both"/>
              <w:rPr>
                <w:rFonts w:hint="default" w:ascii="Times New Roman" w:hAnsi="Times New Roman" w:eastAsia="宋体" w:cs="Times New Roman"/>
                <w:color w:val="auto"/>
              </w:rPr>
            </w:pPr>
            <w:r>
              <w:rPr>
                <w:rFonts w:hint="default" w:ascii="Times New Roman" w:hAnsi="Times New Roman" w:eastAsia="宋体" w:cs="Times New Roman"/>
                <w:color w:val="auto"/>
              </w:rPr>
              <w:t>公章</w:t>
            </w: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经办：            </w:t>
            </w:r>
            <w:r>
              <w:rPr>
                <w:rFonts w:hint="eastAsia" w:ascii="Times New Roman" w:hAnsi="Times New Roman" w:cs="Times New Roman"/>
                <w:color w:val="auto"/>
                <w:lang w:val="en-US" w:eastAsia="zh-CN"/>
              </w:rPr>
              <w:t xml:space="preserve">       </w:t>
            </w:r>
            <w:r>
              <w:rPr>
                <w:rFonts w:hint="default" w:ascii="Times New Roman" w:hAnsi="Times New Roman" w:eastAsia="宋体" w:cs="Times New Roman"/>
                <w:color w:val="auto"/>
              </w:rPr>
              <w:t xml:space="preserve">                       年    月    日</w:t>
            </w:r>
          </w:p>
          <w:p>
            <w:pPr>
              <w:pStyle w:val="46"/>
              <w:ind w:left="420" w:leftChars="200"/>
              <w:jc w:val="both"/>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ign w:val="top"/>
          </w:tcPr>
          <w:p>
            <w:pPr>
              <w:pStyle w:val="46"/>
              <w:jc w:val="both"/>
              <w:rPr>
                <w:rFonts w:hint="default" w:ascii="Times New Roman" w:hAnsi="Times New Roman" w:eastAsia="宋体" w:cs="Times New Roman"/>
                <w:color w:val="auto"/>
              </w:rPr>
            </w:pPr>
            <w:r>
              <w:rPr>
                <w:rFonts w:hint="default" w:ascii="Times New Roman" w:hAnsi="Times New Roman" w:eastAsia="宋体" w:cs="Times New Roman"/>
                <w:color w:val="auto"/>
              </w:rPr>
              <w:t>下一级环境保护行政主管部门审查意见：</w:t>
            </w: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lang w:val="en-US" w:eastAsia="zh-CN"/>
              </w:rPr>
            </w:pPr>
          </w:p>
          <w:p>
            <w:pPr>
              <w:rPr>
                <w:rFonts w:hint="default" w:ascii="Times New Roman" w:hAnsi="Times New Roman" w:eastAsia="宋体" w:cs="Times New Roman"/>
                <w:color w:val="auto"/>
                <w:lang w:val="en-US" w:eastAsia="zh-CN"/>
              </w:rPr>
            </w:pPr>
          </w:p>
          <w:p>
            <w:pPr>
              <w:pStyle w:val="2"/>
              <w:rPr>
                <w:rFonts w:hint="default" w:ascii="Times New Roman" w:hAnsi="Times New Roman" w:eastAsia="宋体" w:cs="Times New Roman"/>
                <w:color w:val="auto"/>
                <w:lang w:val="en-US" w:eastAsia="zh-CN"/>
              </w:rPr>
            </w:pPr>
          </w:p>
          <w:p>
            <w:pPr>
              <w:rPr>
                <w:rFonts w:hint="default"/>
                <w:color w:val="auto"/>
                <w:lang w:val="en-US" w:eastAsia="zh-CN"/>
              </w:rPr>
            </w:pPr>
          </w:p>
          <w:p>
            <w:pPr>
              <w:pStyle w:val="46"/>
              <w:ind w:left="0" w:leftChars="0" w:firstLine="0" w:firstLineChars="0"/>
              <w:jc w:val="both"/>
              <w:rPr>
                <w:rFonts w:hint="default" w:ascii="Times New Roman" w:hAnsi="Times New Roman" w:eastAsia="宋体" w:cs="Times New Roman"/>
                <w:color w:val="auto"/>
              </w:rPr>
            </w:pPr>
          </w:p>
          <w:p>
            <w:pPr>
              <w:pStyle w:val="46"/>
              <w:ind w:firstLine="6240" w:firstLineChars="2600"/>
              <w:jc w:val="both"/>
              <w:rPr>
                <w:rFonts w:hint="default" w:ascii="Times New Roman" w:hAnsi="Times New Roman" w:eastAsia="宋体" w:cs="Times New Roman"/>
                <w:color w:val="auto"/>
              </w:rPr>
            </w:pPr>
            <w:r>
              <w:rPr>
                <w:rFonts w:hint="default" w:ascii="Times New Roman" w:hAnsi="Times New Roman" w:eastAsia="宋体" w:cs="Times New Roman"/>
                <w:color w:val="auto"/>
              </w:rPr>
              <w:t>公章</w:t>
            </w: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经办：            </w:t>
            </w:r>
            <w:r>
              <w:rPr>
                <w:rFonts w:hint="eastAsia" w:ascii="Times New Roman" w:hAnsi="Times New Roman" w:cs="Times New Roman"/>
                <w:color w:val="auto"/>
                <w:lang w:val="en-US" w:eastAsia="zh-CN"/>
              </w:rPr>
              <w:t xml:space="preserve">     </w:t>
            </w:r>
            <w:r>
              <w:rPr>
                <w:rFonts w:hint="default" w:ascii="Times New Roman" w:hAnsi="Times New Roman" w:eastAsia="宋体" w:cs="Times New Roman"/>
                <w:color w:val="auto"/>
              </w:rPr>
              <w:t>：                       年    月    日</w:t>
            </w:r>
          </w:p>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ign w:val="top"/>
          </w:tcPr>
          <w:p>
            <w:pPr>
              <w:pStyle w:val="46"/>
              <w:jc w:val="both"/>
              <w:rPr>
                <w:rFonts w:hint="default" w:ascii="Times New Roman" w:hAnsi="Times New Roman" w:eastAsia="宋体" w:cs="Times New Roman"/>
                <w:color w:val="auto"/>
              </w:rPr>
            </w:pPr>
            <w:r>
              <w:rPr>
                <w:rFonts w:hint="default" w:ascii="Times New Roman" w:hAnsi="Times New Roman" w:eastAsia="宋体" w:cs="Times New Roman"/>
                <w:color w:val="auto"/>
              </w:rPr>
              <w:t>审批意见：</w:t>
            </w: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ind w:left="0" w:leftChars="0" w:firstLine="0" w:firstLineChars="0"/>
              <w:jc w:val="both"/>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2"/>
              <w:rPr>
                <w:rFonts w:hint="default"/>
                <w:color w:val="auto"/>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lang w:eastAsia="zh-CN"/>
              </w:rPr>
            </w:pPr>
          </w:p>
          <w:p>
            <w:pPr>
              <w:pStyle w:val="46"/>
              <w:jc w:val="both"/>
              <w:rPr>
                <w:rFonts w:hint="default" w:ascii="Times New Roman" w:hAnsi="Times New Roman" w:eastAsia="宋体" w:cs="Times New Roman"/>
                <w:color w:val="auto"/>
              </w:rPr>
            </w:pPr>
          </w:p>
          <w:p>
            <w:pPr>
              <w:pStyle w:val="46"/>
              <w:jc w:val="both"/>
              <w:rPr>
                <w:rFonts w:hint="default" w:ascii="Times New Roman" w:hAnsi="Times New Roman" w:eastAsia="宋体" w:cs="Times New Roman"/>
                <w:color w:val="auto"/>
              </w:rPr>
            </w:pPr>
          </w:p>
          <w:p>
            <w:pPr>
              <w:pStyle w:val="46"/>
              <w:ind w:firstLine="6240" w:firstLineChars="2600"/>
              <w:jc w:val="both"/>
              <w:rPr>
                <w:rFonts w:hint="default" w:ascii="Times New Roman" w:hAnsi="Times New Roman" w:eastAsia="宋体" w:cs="Times New Roman"/>
                <w:color w:val="auto"/>
              </w:rPr>
            </w:pPr>
            <w:r>
              <w:rPr>
                <w:rFonts w:hint="default" w:ascii="Times New Roman" w:hAnsi="Times New Roman" w:eastAsia="宋体" w:cs="Times New Roman"/>
                <w:color w:val="auto"/>
              </w:rPr>
              <w:t>公章</w:t>
            </w:r>
          </w:p>
          <w:p>
            <w:pPr>
              <w:pStyle w:val="46"/>
              <w:jc w:val="both"/>
              <w:rPr>
                <w:rFonts w:hint="default" w:ascii="Times New Roman" w:hAnsi="Times New Roman" w:eastAsia="宋体" w:cs="Times New Roman"/>
                <w:color w:val="auto"/>
              </w:rPr>
            </w:pPr>
          </w:p>
          <w:p>
            <w:pPr>
              <w:pStyle w:val="46"/>
              <w:ind w:left="420" w:leftChars="200"/>
              <w:jc w:val="both"/>
              <w:rPr>
                <w:rFonts w:ascii="Times New Roman" w:hAnsi="Times New Roman" w:cs="Times New Roman"/>
                <w:color w:val="auto"/>
              </w:rPr>
            </w:pPr>
            <w:r>
              <w:rPr>
                <w:rFonts w:hint="default" w:ascii="Times New Roman" w:hAnsi="Times New Roman" w:eastAsia="宋体" w:cs="Times New Roman"/>
                <w:color w:val="auto"/>
              </w:rPr>
              <w:t xml:space="preserve">经办：            </w:t>
            </w:r>
            <w:r>
              <w:rPr>
                <w:rFonts w:hint="eastAsia" w:ascii="Times New Roman" w:hAnsi="Times New Roman" w:cs="Times New Roman"/>
                <w:color w:val="auto"/>
                <w:lang w:val="en-US" w:eastAsia="zh-CN"/>
              </w:rPr>
              <w:t xml:space="preserve">        </w:t>
            </w:r>
            <w:r>
              <w:rPr>
                <w:rFonts w:hint="default" w:ascii="Times New Roman" w:hAnsi="Times New Roman" w:eastAsia="宋体" w:cs="Times New Roman"/>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tcPr>
          <w:p>
            <w:pPr>
              <w:pStyle w:val="46"/>
              <w:spacing w:line="276" w:lineRule="auto"/>
              <w:rPr>
                <w:rFonts w:ascii="Times New Roman" w:hAnsi="Times New Roman" w:cs="Times New Roman"/>
                <w:color w:val="auto"/>
                <w:szCs w:val="24"/>
              </w:rPr>
            </w:pPr>
            <w:r>
              <w:rPr>
                <w:rFonts w:ascii="Times New Roman" w:hAnsi="Times New Roman" w:cs="Times New Roman"/>
                <w:color w:val="auto"/>
                <w:szCs w:val="24"/>
              </w:rPr>
              <w:t>注释</w:t>
            </w:r>
          </w:p>
          <w:p>
            <w:pPr>
              <w:rPr>
                <w:rFonts w:hint="eastAsia"/>
                <w:color w:val="auto"/>
                <w:lang w:val="en-US" w:eastAsia="zh-CN"/>
              </w:rPr>
            </w:pP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一、本报告表应附以下附件、附图：</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附图1项目地理位置图</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附图2常熟市生态红线区域分布图</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附图3常熟南部新城东部中片区控制性详细规划</w:t>
            </w:r>
          </w:p>
          <w:p>
            <w:pPr>
              <w:pStyle w:val="46"/>
              <w:ind w:firstLine="480" w:firstLineChars="200"/>
              <w:jc w:val="both"/>
              <w:rPr>
                <w:rFonts w:ascii="Times New Roman" w:hAnsi="Times New Roman" w:cs="Times New Roman"/>
                <w:color w:val="auto"/>
                <w:szCs w:val="24"/>
              </w:rPr>
            </w:pPr>
            <w:r>
              <w:rPr>
                <w:rFonts w:hint="eastAsia" w:ascii="Times New Roman" w:hAnsi="Times New Roman" w:cs="Times New Roman"/>
                <w:color w:val="auto"/>
                <w:szCs w:val="24"/>
              </w:rPr>
              <w:t>附图4</w:t>
            </w:r>
            <w:r>
              <w:rPr>
                <w:rFonts w:ascii="Times New Roman" w:hAnsi="Times New Roman" w:cs="Times New Roman"/>
                <w:color w:val="auto"/>
                <w:szCs w:val="24"/>
              </w:rPr>
              <w:t>《常熟市南部新城局部片区控制性详细规划（2022年</w:t>
            </w:r>
            <w:r>
              <w:rPr>
                <w:rFonts w:hint="eastAsia" w:ascii="Times New Roman" w:hAnsi="Times New Roman" w:cs="Times New Roman"/>
                <w:color w:val="auto"/>
                <w:szCs w:val="24"/>
                <w:lang w:val="en-US" w:eastAsia="zh-CN"/>
              </w:rPr>
              <w:t>12月调整</w:t>
            </w:r>
            <w:r>
              <w:rPr>
                <w:rFonts w:ascii="Times New Roman" w:hAnsi="Times New Roman" w:cs="Times New Roman"/>
                <w:color w:val="auto"/>
                <w:szCs w:val="24"/>
              </w:rPr>
              <w:t>）》</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附图</w:t>
            </w:r>
            <w:r>
              <w:rPr>
                <w:rFonts w:hint="eastAsia" w:ascii="Times New Roman" w:hAnsi="Times New Roman" w:cs="Times New Roman"/>
                <w:color w:val="auto"/>
                <w:szCs w:val="24"/>
              </w:rPr>
              <w:t>5</w:t>
            </w:r>
            <w:r>
              <w:rPr>
                <w:rFonts w:ascii="Times New Roman" w:hAnsi="Times New Roman" w:cs="Times New Roman"/>
                <w:color w:val="auto"/>
                <w:szCs w:val="24"/>
              </w:rPr>
              <w:t>水环境功能图</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附图</w:t>
            </w:r>
            <w:r>
              <w:rPr>
                <w:rFonts w:hint="eastAsia" w:ascii="Times New Roman" w:hAnsi="Times New Roman" w:cs="Times New Roman"/>
                <w:color w:val="auto"/>
                <w:szCs w:val="24"/>
              </w:rPr>
              <w:t>6</w:t>
            </w:r>
            <w:r>
              <w:rPr>
                <w:rFonts w:ascii="Times New Roman" w:hAnsi="Times New Roman" w:cs="Times New Roman"/>
                <w:color w:val="auto"/>
                <w:szCs w:val="24"/>
              </w:rPr>
              <w:t>项目周边环境示意图</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附图</w:t>
            </w:r>
            <w:r>
              <w:rPr>
                <w:rFonts w:hint="eastAsia" w:ascii="Times New Roman" w:hAnsi="Times New Roman" w:cs="Times New Roman"/>
                <w:color w:val="auto"/>
                <w:szCs w:val="24"/>
              </w:rPr>
              <w:t>7</w:t>
            </w:r>
            <w:r>
              <w:rPr>
                <w:rFonts w:ascii="Times New Roman" w:hAnsi="Times New Roman" w:cs="Times New Roman"/>
                <w:color w:val="auto"/>
                <w:szCs w:val="24"/>
              </w:rPr>
              <w:t>厂区平面布置图</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8</w:t>
            </w:r>
            <w:r>
              <w:rPr>
                <w:rFonts w:ascii="Times New Roman" w:hAnsi="Times New Roman" w:cs="Times New Roman"/>
                <w:color w:val="auto"/>
                <w:szCs w:val="24"/>
              </w:rPr>
              <w:t>厂界周围500米状况图</w:t>
            </w:r>
          </w:p>
          <w:p>
            <w:pPr>
              <w:rPr>
                <w:color w:val="auto"/>
              </w:rPr>
            </w:pP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附件1备案证</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2登记信息表</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3法人身份证</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4营业执照</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5不动产权证</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6现有项目环评登记表</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7雨污水接管证明</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8垃圾清运协议</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9MSDS报告</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10危废协议</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11承诺书</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12</w:t>
            </w:r>
            <w:r>
              <w:rPr>
                <w:rFonts w:ascii="Times New Roman" w:hAnsi="Times New Roman" w:cs="Times New Roman"/>
                <w:color w:val="auto"/>
                <w:szCs w:val="24"/>
              </w:rPr>
              <w:t>现场核查表、环境准入意见书</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附件</w:t>
            </w:r>
            <w:r>
              <w:rPr>
                <w:rFonts w:hint="eastAsia" w:ascii="Times New Roman" w:hAnsi="Times New Roman" w:cs="Times New Roman"/>
                <w:color w:val="auto"/>
                <w:szCs w:val="24"/>
              </w:rPr>
              <w:t>13</w:t>
            </w:r>
            <w:r>
              <w:rPr>
                <w:rFonts w:ascii="Times New Roman" w:hAnsi="Times New Roman" w:cs="Times New Roman"/>
                <w:color w:val="auto"/>
                <w:szCs w:val="24"/>
              </w:rPr>
              <w:t>中介超市相关文件</w:t>
            </w:r>
          </w:p>
          <w:p>
            <w:pPr>
              <w:pStyle w:val="46"/>
              <w:ind w:firstLine="480" w:firstLineChars="200"/>
              <w:jc w:val="both"/>
              <w:rPr>
                <w:rFonts w:ascii="Times New Roman" w:hAnsi="Times New Roman" w:cs="Times New Roman"/>
                <w:color w:val="auto"/>
                <w:szCs w:val="24"/>
              </w:rPr>
            </w:pPr>
          </w:p>
          <w:p>
            <w:pPr>
              <w:rPr>
                <w:color w:val="auto"/>
              </w:rPr>
            </w:pP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二、如果本报告表不能说明项目产生的污染及对环境造成的影响，应进行专项评价。根据建设项目的特点和当地环境特征，应选下列1-2项进行专项评价。</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1、大气环境影响专项评价</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2、水环境影响专项评价（包括地表水和地下水）</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3、生态环境影响专项评价</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4、声影响专项评价</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5、土壤影响专项评价</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6、固体废弃物影响专项评价</w:t>
            </w:r>
          </w:p>
          <w:p>
            <w:pPr>
              <w:pStyle w:val="46"/>
              <w:ind w:firstLine="480" w:firstLineChars="200"/>
              <w:jc w:val="both"/>
              <w:rPr>
                <w:rFonts w:ascii="Times New Roman" w:hAnsi="Times New Roman" w:cs="Times New Roman"/>
                <w:color w:val="auto"/>
                <w:szCs w:val="24"/>
              </w:rPr>
            </w:pPr>
            <w:r>
              <w:rPr>
                <w:rFonts w:ascii="Times New Roman" w:hAnsi="Times New Roman" w:cs="Times New Roman"/>
                <w:color w:val="auto"/>
                <w:szCs w:val="24"/>
              </w:rPr>
              <w:t>7、辐射环境影响专项评价（包括电离辐射和电磁辐射）</w:t>
            </w:r>
          </w:p>
          <w:p>
            <w:pPr>
              <w:pStyle w:val="46"/>
              <w:spacing w:line="276" w:lineRule="auto"/>
              <w:ind w:firstLine="480" w:firstLineChars="200"/>
              <w:jc w:val="both"/>
              <w:rPr>
                <w:rFonts w:ascii="Times New Roman" w:hAnsi="Times New Roman" w:cs="Times New Roman"/>
                <w:color w:val="auto"/>
              </w:rPr>
            </w:pPr>
            <w:r>
              <w:rPr>
                <w:rFonts w:ascii="Times New Roman" w:hAnsi="Times New Roman" w:cs="Times New Roman"/>
                <w:color w:val="auto"/>
                <w:szCs w:val="24"/>
              </w:rPr>
              <w:t>以上专项评价未包括的可另列专项，专项评价按照《环境影响评价技术导则》中的要求进行。</w:t>
            </w:r>
          </w:p>
        </w:tc>
      </w:tr>
    </w:tbl>
    <w:p>
      <w:pPr>
        <w:jc w:val="center"/>
        <w:rPr>
          <w:color w:val="auto"/>
        </w:rPr>
        <w:sectPr>
          <w:pgSz w:w="11906" w:h="16838"/>
          <w:pgMar w:top="1701" w:right="1531" w:bottom="1701" w:left="1531" w:header="851" w:footer="851" w:gutter="0"/>
          <w:cols w:space="720" w:num="1"/>
          <w:docGrid w:linePitch="312" w:charSpace="0"/>
        </w:sectPr>
      </w:pPr>
    </w:p>
    <w:p>
      <w:pPr>
        <w:pStyle w:val="16"/>
        <w:adjustRightInd w:val="0"/>
        <w:snapToGrid w:val="0"/>
        <w:spacing w:before="0" w:beforeAutospacing="0" w:after="0" w:afterAutospacing="0"/>
        <w:outlineLvl w:val="0"/>
        <w:rPr>
          <w:rFonts w:ascii="Times New Roman" w:hAnsi="Times New Roman"/>
          <w:b/>
          <w:bCs/>
          <w:snapToGrid w:val="0"/>
          <w:color w:val="auto"/>
          <w:sz w:val="38"/>
          <w:szCs w:val="38"/>
          <w:highlight w:val="yellow"/>
        </w:rPr>
      </w:pPr>
      <w:r>
        <w:rPr>
          <w:rFonts w:ascii="Times New Roman" w:hAnsi="Times New Roman"/>
          <w:b/>
          <w:bCs/>
          <w:snapToGrid w:val="0"/>
          <w:color w:val="auto"/>
          <w:sz w:val="32"/>
          <w:szCs w:val="32"/>
        </w:rPr>
        <w:t>附表</w:t>
      </w:r>
      <w:r>
        <w:rPr>
          <w:rFonts w:ascii="Times New Roman" w:hAnsi="Times New Roman"/>
          <w:b/>
          <w:bCs/>
          <w:snapToGrid w:val="0"/>
          <w:color w:val="auto"/>
          <w:sz w:val="38"/>
          <w:szCs w:val="38"/>
        </w:rPr>
        <w:t>建设项目污染物排放量汇总表</w:t>
      </w:r>
    </w:p>
    <w:tbl>
      <w:tblPr>
        <w:tblStyle w:val="19"/>
        <w:tblW w:w="139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808"/>
        <w:gridCol w:w="1650"/>
        <w:gridCol w:w="1575"/>
        <w:gridCol w:w="1515"/>
        <w:gridCol w:w="1755"/>
        <w:gridCol w:w="1654"/>
        <w:gridCol w:w="10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88" w:type="dxa"/>
            <w:tcBorders>
              <w:tl2br w:val="single" w:color="auto" w:sz="4" w:space="0"/>
            </w:tcBorders>
            <w:noWrap/>
            <w:tcMar>
              <w:left w:w="28" w:type="dxa"/>
              <w:right w:w="28" w:type="dxa"/>
            </w:tcMar>
            <w:vAlign w:val="center"/>
          </w:tcPr>
          <w:p>
            <w:pPr>
              <w:pStyle w:val="37"/>
              <w:spacing w:beforeLines="0" w:afterLines="0" w:line="240" w:lineRule="auto"/>
              <w:jc w:val="right"/>
              <w:rPr>
                <w:rFonts w:ascii="Times New Roman"/>
                <w:snapToGrid w:val="0"/>
                <w:color w:val="auto"/>
                <w:spacing w:val="-6"/>
                <w:kern w:val="21"/>
                <w:szCs w:val="21"/>
              </w:rPr>
            </w:pPr>
            <w:r>
              <w:rPr>
                <w:rFonts w:ascii="Times New Roman"/>
                <w:snapToGrid w:val="0"/>
                <w:color w:val="auto"/>
                <w:spacing w:val="-6"/>
                <w:kern w:val="21"/>
                <w:szCs w:val="21"/>
              </w:rPr>
              <w:t>项目</w:t>
            </w:r>
          </w:p>
          <w:p>
            <w:pPr>
              <w:pStyle w:val="37"/>
              <w:spacing w:beforeLines="0" w:afterLines="0" w:line="240" w:lineRule="auto"/>
              <w:jc w:val="left"/>
              <w:rPr>
                <w:rFonts w:ascii="Times New Roman"/>
                <w:snapToGrid w:val="0"/>
                <w:color w:val="auto"/>
                <w:spacing w:val="-6"/>
                <w:kern w:val="21"/>
                <w:szCs w:val="21"/>
              </w:rPr>
            </w:pPr>
            <w:r>
              <w:rPr>
                <w:rFonts w:ascii="Times New Roman"/>
                <w:snapToGrid w:val="0"/>
                <w:color w:val="auto"/>
                <w:spacing w:val="-6"/>
                <w:kern w:val="21"/>
                <w:szCs w:val="21"/>
              </w:rPr>
              <w:t>分类</w:t>
            </w:r>
          </w:p>
        </w:tc>
        <w:tc>
          <w:tcPr>
            <w:tcW w:w="1417" w:type="dxa"/>
            <w:noWrap/>
            <w:tcMar>
              <w:left w:w="28" w:type="dxa"/>
              <w:right w:w="28" w:type="dxa"/>
            </w:tcMar>
            <w:vAlign w:val="center"/>
          </w:tcPr>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污染物名称</w:t>
            </w:r>
          </w:p>
        </w:tc>
        <w:tc>
          <w:tcPr>
            <w:tcW w:w="1808" w:type="dxa"/>
            <w:noWrap/>
            <w:tcMar>
              <w:left w:w="28" w:type="dxa"/>
              <w:right w:w="28" w:type="dxa"/>
            </w:tcMar>
            <w:vAlign w:val="center"/>
          </w:tcPr>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现有工程</w:t>
            </w:r>
          </w:p>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排放量（固体废物产生量t/a）</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color w:val="auto"/>
                <w:kern w:val="2"/>
                <w:szCs w:val="21"/>
              </w:rPr>
              <w:t>①</w:t>
            </w:r>
            <w:r>
              <w:rPr>
                <w:rFonts w:ascii="Times New Roman"/>
                <w:snapToGrid w:val="0"/>
                <w:color w:val="auto"/>
                <w:spacing w:val="-6"/>
                <w:kern w:val="21"/>
                <w:szCs w:val="21"/>
              </w:rPr>
              <w:fldChar w:fldCharType="end"/>
            </w:r>
          </w:p>
        </w:tc>
        <w:tc>
          <w:tcPr>
            <w:tcW w:w="1650" w:type="dxa"/>
            <w:noWrap/>
            <w:tcMar>
              <w:left w:w="28" w:type="dxa"/>
              <w:right w:w="28" w:type="dxa"/>
            </w:tcMar>
            <w:vAlign w:val="center"/>
          </w:tcPr>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现有工程</w:t>
            </w:r>
          </w:p>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许可排放量</w:t>
            </w:r>
          </w:p>
          <w:p>
            <w:pPr>
              <w:pStyle w:val="37"/>
              <w:spacing w:beforeLines="0" w:afterLines="0"/>
              <w:rPr>
                <w:rFonts w:ascii="Times New Roman"/>
                <w:snapToGrid w:val="0"/>
                <w:color w:val="auto"/>
                <w:spacing w:val="-6"/>
                <w:kern w:val="21"/>
                <w:szCs w:val="21"/>
              </w:rPr>
            </w:pPr>
            <w:r>
              <w:rPr>
                <w:rFonts w:ascii="Times New Roman"/>
                <w:snapToGrid w:val="0"/>
                <w:color w:val="auto"/>
                <w:spacing w:val="-6"/>
                <w:kern w:val="21"/>
                <w:szCs w:val="21"/>
              </w:rPr>
              <w:t>t/a</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2 \* GB3 \* MERGEFORMAT </w:instrText>
            </w:r>
            <w:r>
              <w:rPr>
                <w:rFonts w:ascii="Times New Roman"/>
                <w:snapToGrid w:val="0"/>
                <w:color w:val="auto"/>
                <w:spacing w:val="-6"/>
                <w:kern w:val="21"/>
                <w:szCs w:val="21"/>
              </w:rPr>
              <w:fldChar w:fldCharType="separate"/>
            </w:r>
            <w:r>
              <w:rPr>
                <w:rFonts w:ascii="Times New Roman"/>
                <w:snapToGrid w:val="0"/>
                <w:color w:val="auto"/>
                <w:spacing w:val="-6"/>
                <w:kern w:val="21"/>
                <w:szCs w:val="21"/>
              </w:rPr>
              <w:t>②</w:t>
            </w:r>
            <w:r>
              <w:rPr>
                <w:rFonts w:ascii="Times New Roman"/>
                <w:snapToGrid w:val="0"/>
                <w:color w:val="auto"/>
                <w:spacing w:val="-6"/>
                <w:kern w:val="21"/>
                <w:szCs w:val="21"/>
              </w:rPr>
              <w:fldChar w:fldCharType="end"/>
            </w:r>
          </w:p>
        </w:tc>
        <w:tc>
          <w:tcPr>
            <w:tcW w:w="1575" w:type="dxa"/>
            <w:noWrap/>
            <w:tcMar>
              <w:left w:w="28" w:type="dxa"/>
              <w:right w:w="28" w:type="dxa"/>
            </w:tcMar>
            <w:vAlign w:val="center"/>
          </w:tcPr>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在建工程</w:t>
            </w:r>
          </w:p>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排放量（固体废物产生量t/a）</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ascii="Times New Roman"/>
                <w:color w:val="auto"/>
                <w:kern w:val="2"/>
                <w:szCs w:val="21"/>
              </w:rPr>
              <w:t>③</w:t>
            </w:r>
            <w:r>
              <w:rPr>
                <w:rFonts w:ascii="Times New Roman"/>
                <w:snapToGrid w:val="0"/>
                <w:color w:val="auto"/>
                <w:spacing w:val="-6"/>
                <w:kern w:val="21"/>
                <w:szCs w:val="21"/>
              </w:rPr>
              <w:fldChar w:fldCharType="end"/>
            </w:r>
          </w:p>
        </w:tc>
        <w:tc>
          <w:tcPr>
            <w:tcW w:w="1515" w:type="dxa"/>
            <w:noWrap/>
            <w:tcMar>
              <w:left w:w="28" w:type="dxa"/>
              <w:right w:w="28" w:type="dxa"/>
            </w:tcMar>
            <w:vAlign w:val="center"/>
          </w:tcPr>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本项目</w:t>
            </w:r>
          </w:p>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排放量（固体废物产生量t/a）</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ascii="Times New Roman"/>
                <w:color w:val="auto"/>
                <w:kern w:val="2"/>
                <w:szCs w:val="21"/>
              </w:rPr>
              <w:t>④</w:t>
            </w:r>
            <w:r>
              <w:rPr>
                <w:rFonts w:ascii="Times New Roman"/>
                <w:snapToGrid w:val="0"/>
                <w:color w:val="auto"/>
                <w:spacing w:val="-6"/>
                <w:kern w:val="21"/>
                <w:szCs w:val="21"/>
              </w:rPr>
              <w:fldChar w:fldCharType="end"/>
            </w:r>
          </w:p>
        </w:tc>
        <w:tc>
          <w:tcPr>
            <w:tcW w:w="1755" w:type="dxa"/>
            <w:noWrap/>
            <w:tcMar>
              <w:left w:w="28" w:type="dxa"/>
              <w:right w:w="28" w:type="dxa"/>
            </w:tcMar>
            <w:vAlign w:val="center"/>
          </w:tcPr>
          <w:p>
            <w:pPr>
              <w:pStyle w:val="3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以新带老削减量</w:t>
            </w:r>
            <w:r>
              <w:rPr>
                <w:rFonts w:ascii="Times New Roman"/>
                <w:snapToGrid w:val="0"/>
                <w:color w:val="auto"/>
                <w:spacing w:val="-6"/>
                <w:kern w:val="21"/>
                <w:szCs w:val="21"/>
              </w:rPr>
              <w:t>t/a</w:t>
            </w:r>
          </w:p>
          <w:p>
            <w:pPr>
              <w:pStyle w:val="3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（新建项目不填）</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ascii="Times New Roman"/>
                <w:color w:val="auto"/>
                <w:kern w:val="2"/>
                <w:szCs w:val="21"/>
              </w:rPr>
              <w:t>⑤</w:t>
            </w:r>
            <w:r>
              <w:rPr>
                <w:rFonts w:ascii="Times New Roman"/>
                <w:snapToGrid w:val="0"/>
                <w:color w:val="auto"/>
                <w:spacing w:val="-16"/>
                <w:kern w:val="21"/>
                <w:szCs w:val="21"/>
              </w:rPr>
              <w:fldChar w:fldCharType="end"/>
            </w:r>
          </w:p>
        </w:tc>
        <w:tc>
          <w:tcPr>
            <w:tcW w:w="1654" w:type="dxa"/>
            <w:noWrap/>
            <w:tcMar>
              <w:left w:w="28" w:type="dxa"/>
              <w:right w:w="28" w:type="dxa"/>
            </w:tcMar>
            <w:vAlign w:val="center"/>
          </w:tcPr>
          <w:p>
            <w:pPr>
              <w:pStyle w:val="3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本项目建成后</w:t>
            </w:r>
          </w:p>
          <w:p>
            <w:pPr>
              <w:pStyle w:val="3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全厂排放量（固体废物产生量</w:t>
            </w:r>
            <w:r>
              <w:rPr>
                <w:rFonts w:ascii="Times New Roman"/>
                <w:snapToGrid w:val="0"/>
                <w:color w:val="auto"/>
                <w:spacing w:val="-6"/>
                <w:kern w:val="21"/>
                <w:szCs w:val="21"/>
              </w:rPr>
              <w:t>t/a</w:t>
            </w:r>
            <w:r>
              <w:rPr>
                <w:rFonts w:ascii="Times New Roman"/>
                <w:snapToGrid w:val="0"/>
                <w:color w:val="auto"/>
                <w:spacing w:val="-1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color w:val="auto"/>
                <w:kern w:val="2"/>
                <w:szCs w:val="21"/>
              </w:rPr>
              <w:t>⑥</w:t>
            </w:r>
            <w:r>
              <w:rPr>
                <w:rFonts w:ascii="Times New Roman"/>
                <w:snapToGrid w:val="0"/>
                <w:color w:val="auto"/>
                <w:spacing w:val="-16"/>
                <w:kern w:val="21"/>
                <w:szCs w:val="21"/>
              </w:rPr>
              <w:fldChar w:fldCharType="end"/>
            </w:r>
          </w:p>
        </w:tc>
        <w:tc>
          <w:tcPr>
            <w:tcW w:w="1028" w:type="dxa"/>
            <w:noWrap/>
            <w:tcMar>
              <w:left w:w="28" w:type="dxa"/>
              <w:right w:w="28" w:type="dxa"/>
            </w:tcMar>
            <w:vAlign w:val="center"/>
          </w:tcPr>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变化量t/a</w:t>
            </w:r>
          </w:p>
          <w:p>
            <w:pPr>
              <w:pStyle w:val="3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ascii="Times New Roman"/>
                <w:color w:val="auto"/>
                <w:kern w:val="2"/>
                <w:szCs w:val="21"/>
              </w:rPr>
              <w:t>⑦</w:t>
            </w:r>
            <w:r>
              <w:rPr>
                <w:rFonts w:ascii="Times New Roman"/>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restart"/>
            <w:noWrap/>
            <w:vAlign w:val="center"/>
          </w:tcPr>
          <w:p>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生活污水</w:t>
            </w:r>
          </w:p>
        </w:tc>
        <w:tc>
          <w:tcPr>
            <w:tcW w:w="1417" w:type="dxa"/>
            <w:noWrap/>
            <w:vAlign w:val="center"/>
          </w:tcPr>
          <w:p>
            <w:pPr>
              <w:pStyle w:val="2"/>
              <w:keepNext w:val="0"/>
              <w:keepLines w:val="0"/>
              <w:adjustRightInd/>
              <w:spacing w:line="264" w:lineRule="auto"/>
              <w:jc w:val="center"/>
              <w:rPr>
                <w:rFonts w:ascii="Times New Roman" w:hAnsi="Times New Roman"/>
                <w:color w:val="auto"/>
                <w:sz w:val="21"/>
                <w:szCs w:val="21"/>
              </w:rPr>
            </w:pPr>
            <w:r>
              <w:rPr>
                <w:rFonts w:ascii="Times New Roman" w:hAnsi="Times New Roman"/>
                <w:color w:val="auto"/>
                <w:sz w:val="21"/>
                <w:szCs w:val="21"/>
              </w:rPr>
              <w:t>废水量</w:t>
            </w:r>
          </w:p>
        </w:tc>
        <w:tc>
          <w:tcPr>
            <w:tcW w:w="1808" w:type="dxa"/>
            <w:noWrap/>
            <w:vAlign w:val="center"/>
          </w:tcPr>
          <w:p>
            <w:pPr>
              <w:pStyle w:val="2"/>
              <w:keepNext w:val="0"/>
              <w:keepLines w:val="0"/>
              <w:adjustRightInd/>
              <w:spacing w:line="264" w:lineRule="auto"/>
              <w:jc w:val="center"/>
              <w:rPr>
                <w:rFonts w:ascii="Times New Roman" w:hAnsi="Times New Roman"/>
                <w:snapToGrid w:val="0"/>
                <w:color w:val="auto"/>
                <w:kern w:val="21"/>
                <w:sz w:val="21"/>
                <w:szCs w:val="21"/>
              </w:rPr>
            </w:pPr>
            <w:r>
              <w:rPr>
                <w:rFonts w:hint="eastAsia" w:ascii="Times New Roman" w:hAnsi="Times New Roman"/>
                <w:color w:val="auto"/>
                <w:sz w:val="21"/>
                <w:szCs w:val="21"/>
              </w:rPr>
              <w:t>161.28</w:t>
            </w:r>
          </w:p>
        </w:tc>
        <w:tc>
          <w:tcPr>
            <w:tcW w:w="1650" w:type="dxa"/>
            <w:noWrap/>
            <w:vAlign w:val="center"/>
          </w:tcPr>
          <w:p>
            <w:pPr>
              <w:jc w:val="center"/>
              <w:rPr>
                <w:snapToGrid w:val="0"/>
                <w:color w:val="auto"/>
                <w:kern w:val="21"/>
                <w:szCs w:val="21"/>
              </w:rPr>
            </w:pPr>
            <w:r>
              <w:rPr>
                <w:rFonts w:hint="eastAsia"/>
                <w:color w:val="auto"/>
                <w:szCs w:val="21"/>
              </w:rPr>
              <w:t>0</w:t>
            </w:r>
          </w:p>
        </w:tc>
        <w:tc>
          <w:tcPr>
            <w:tcW w:w="1575" w:type="dxa"/>
            <w:noWrap/>
            <w:vAlign w:val="center"/>
          </w:tcPr>
          <w:p>
            <w:pPr>
              <w:jc w:val="center"/>
              <w:rPr>
                <w:snapToGrid w:val="0"/>
                <w:color w:val="auto"/>
                <w:kern w:val="21"/>
                <w:szCs w:val="21"/>
              </w:rPr>
            </w:pPr>
            <w:r>
              <w:rPr>
                <w:rFonts w:hint="eastAsia"/>
                <w:color w:val="auto"/>
                <w:szCs w:val="21"/>
              </w:rPr>
              <w:t>0</w:t>
            </w:r>
          </w:p>
        </w:tc>
        <w:tc>
          <w:tcPr>
            <w:tcW w:w="1515" w:type="dxa"/>
            <w:noWrap/>
            <w:vAlign w:val="center"/>
          </w:tcPr>
          <w:p>
            <w:pPr>
              <w:jc w:val="center"/>
              <w:rPr>
                <w:color w:val="auto"/>
                <w:szCs w:val="21"/>
              </w:rPr>
            </w:pPr>
            <w:r>
              <w:rPr>
                <w:rFonts w:hint="eastAsia"/>
                <w:color w:val="auto"/>
                <w:szCs w:val="21"/>
              </w:rPr>
              <w:t>0</w:t>
            </w:r>
          </w:p>
        </w:tc>
        <w:tc>
          <w:tcPr>
            <w:tcW w:w="1755" w:type="dxa"/>
            <w:noWrap/>
            <w:vAlign w:val="center"/>
          </w:tcPr>
          <w:p>
            <w:pPr>
              <w:jc w:val="center"/>
              <w:rPr>
                <w:snapToGrid w:val="0"/>
                <w:color w:val="auto"/>
                <w:kern w:val="21"/>
                <w:szCs w:val="21"/>
              </w:rPr>
            </w:pPr>
            <w:r>
              <w:rPr>
                <w:rFonts w:hint="eastAsia"/>
                <w:color w:val="auto"/>
                <w:szCs w:val="21"/>
              </w:rPr>
              <w:t>0</w:t>
            </w:r>
          </w:p>
        </w:tc>
        <w:tc>
          <w:tcPr>
            <w:tcW w:w="1654" w:type="dxa"/>
            <w:noWrap/>
            <w:vAlign w:val="center"/>
          </w:tcPr>
          <w:p>
            <w:pPr>
              <w:pStyle w:val="2"/>
              <w:keepNext w:val="0"/>
              <w:keepLines w:val="0"/>
              <w:adjustRightInd/>
              <w:spacing w:line="264" w:lineRule="auto"/>
              <w:jc w:val="center"/>
              <w:rPr>
                <w:rFonts w:ascii="Times New Roman" w:hAnsi="Times New Roman"/>
                <w:color w:val="auto"/>
                <w:szCs w:val="21"/>
              </w:rPr>
            </w:pPr>
            <w:r>
              <w:rPr>
                <w:rFonts w:hint="eastAsia" w:ascii="Times New Roman" w:hAnsi="Times New Roman"/>
                <w:color w:val="auto"/>
                <w:sz w:val="21"/>
                <w:szCs w:val="21"/>
              </w:rPr>
              <w:t>161.28</w:t>
            </w:r>
          </w:p>
        </w:tc>
        <w:tc>
          <w:tcPr>
            <w:tcW w:w="1028" w:type="dxa"/>
            <w:noWrap/>
            <w:vAlign w:val="center"/>
          </w:tcPr>
          <w:p>
            <w:pPr>
              <w:snapToGrid w:val="0"/>
              <w:jc w:val="center"/>
              <w:rPr>
                <w:color w:val="auto"/>
                <w:szCs w:val="21"/>
              </w:rPr>
            </w:pPr>
            <w:r>
              <w:rPr>
                <w:rFonts w:hint="eastAsia"/>
                <w:color w:val="auto"/>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noWrap/>
            <w:vAlign w:val="center"/>
          </w:tcPr>
          <w:p>
            <w:pPr>
              <w:pStyle w:val="37"/>
              <w:spacing w:beforeLines="0" w:afterLines="0" w:line="240" w:lineRule="auto"/>
              <w:rPr>
                <w:rFonts w:ascii="Times New Roman"/>
                <w:snapToGrid w:val="0"/>
                <w:color w:val="auto"/>
                <w:kern w:val="21"/>
                <w:szCs w:val="21"/>
              </w:rPr>
            </w:pPr>
          </w:p>
        </w:tc>
        <w:tc>
          <w:tcPr>
            <w:tcW w:w="1417" w:type="dxa"/>
            <w:noWrap/>
            <w:vAlign w:val="center"/>
          </w:tcPr>
          <w:p>
            <w:pPr>
              <w:pStyle w:val="2"/>
              <w:keepNext w:val="0"/>
              <w:keepLines w:val="0"/>
              <w:adjustRightInd/>
              <w:spacing w:line="264" w:lineRule="auto"/>
              <w:jc w:val="center"/>
              <w:rPr>
                <w:rFonts w:ascii="Times New Roman" w:hAnsi="Times New Roman"/>
                <w:color w:val="auto"/>
                <w:sz w:val="21"/>
                <w:szCs w:val="21"/>
              </w:rPr>
            </w:pPr>
            <w:r>
              <w:rPr>
                <w:rFonts w:ascii="Times New Roman" w:hAnsi="Times New Roman"/>
                <w:color w:val="auto"/>
                <w:sz w:val="21"/>
                <w:szCs w:val="21"/>
              </w:rPr>
              <w:t>COD</w:t>
            </w:r>
          </w:p>
        </w:tc>
        <w:tc>
          <w:tcPr>
            <w:tcW w:w="1808" w:type="dxa"/>
            <w:noWrap/>
            <w:vAlign w:val="center"/>
          </w:tcPr>
          <w:p>
            <w:pPr>
              <w:spacing w:line="264" w:lineRule="auto"/>
              <w:jc w:val="center"/>
              <w:rPr>
                <w:snapToGrid w:val="0"/>
                <w:color w:val="auto"/>
                <w:kern w:val="21"/>
                <w:szCs w:val="21"/>
              </w:rPr>
            </w:pPr>
            <w:r>
              <w:rPr>
                <w:rFonts w:hint="eastAsia"/>
                <w:snapToGrid w:val="0"/>
                <w:color w:val="auto"/>
                <w:szCs w:val="21"/>
              </w:rPr>
              <w:t>0.0806</w:t>
            </w:r>
          </w:p>
        </w:tc>
        <w:tc>
          <w:tcPr>
            <w:tcW w:w="1650" w:type="dxa"/>
            <w:noWrap/>
            <w:vAlign w:val="center"/>
          </w:tcPr>
          <w:p>
            <w:pPr>
              <w:jc w:val="center"/>
              <w:rPr>
                <w:snapToGrid w:val="0"/>
                <w:color w:val="auto"/>
                <w:kern w:val="21"/>
                <w:szCs w:val="21"/>
              </w:rPr>
            </w:pPr>
            <w:r>
              <w:rPr>
                <w:rFonts w:hint="eastAsia"/>
                <w:color w:val="auto"/>
                <w:szCs w:val="21"/>
              </w:rPr>
              <w:t>0</w:t>
            </w:r>
          </w:p>
        </w:tc>
        <w:tc>
          <w:tcPr>
            <w:tcW w:w="1575" w:type="dxa"/>
            <w:noWrap/>
            <w:vAlign w:val="center"/>
          </w:tcPr>
          <w:p>
            <w:pPr>
              <w:jc w:val="center"/>
              <w:rPr>
                <w:snapToGrid w:val="0"/>
                <w:color w:val="auto"/>
                <w:kern w:val="21"/>
                <w:szCs w:val="21"/>
              </w:rPr>
            </w:pPr>
            <w:r>
              <w:rPr>
                <w:rFonts w:hint="eastAsia"/>
                <w:color w:val="auto"/>
                <w:szCs w:val="21"/>
              </w:rPr>
              <w:t>0</w:t>
            </w:r>
          </w:p>
        </w:tc>
        <w:tc>
          <w:tcPr>
            <w:tcW w:w="1515" w:type="dxa"/>
            <w:noWrap/>
            <w:vAlign w:val="center"/>
          </w:tcPr>
          <w:p>
            <w:pPr>
              <w:jc w:val="center"/>
              <w:rPr>
                <w:color w:val="auto"/>
                <w:szCs w:val="21"/>
              </w:rPr>
            </w:pPr>
            <w:r>
              <w:rPr>
                <w:rFonts w:hint="eastAsia"/>
                <w:color w:val="auto"/>
                <w:szCs w:val="21"/>
              </w:rPr>
              <w:t>0</w:t>
            </w:r>
          </w:p>
        </w:tc>
        <w:tc>
          <w:tcPr>
            <w:tcW w:w="1755" w:type="dxa"/>
            <w:noWrap/>
            <w:vAlign w:val="center"/>
          </w:tcPr>
          <w:p>
            <w:pPr>
              <w:jc w:val="center"/>
              <w:rPr>
                <w:snapToGrid w:val="0"/>
                <w:color w:val="auto"/>
                <w:kern w:val="21"/>
                <w:szCs w:val="21"/>
              </w:rPr>
            </w:pPr>
            <w:r>
              <w:rPr>
                <w:rFonts w:hint="eastAsia"/>
                <w:color w:val="auto"/>
                <w:szCs w:val="21"/>
              </w:rPr>
              <w:t>0</w:t>
            </w:r>
          </w:p>
        </w:tc>
        <w:tc>
          <w:tcPr>
            <w:tcW w:w="1654" w:type="dxa"/>
            <w:noWrap/>
            <w:vAlign w:val="center"/>
          </w:tcPr>
          <w:p>
            <w:pPr>
              <w:spacing w:line="264" w:lineRule="auto"/>
              <w:jc w:val="center"/>
              <w:rPr>
                <w:color w:val="auto"/>
                <w:szCs w:val="21"/>
              </w:rPr>
            </w:pPr>
            <w:r>
              <w:rPr>
                <w:rFonts w:hint="eastAsia"/>
                <w:snapToGrid w:val="0"/>
                <w:color w:val="auto"/>
                <w:szCs w:val="21"/>
              </w:rPr>
              <w:t>0.0806</w:t>
            </w:r>
          </w:p>
        </w:tc>
        <w:tc>
          <w:tcPr>
            <w:tcW w:w="1028" w:type="dxa"/>
            <w:noWrap/>
            <w:vAlign w:val="center"/>
          </w:tcPr>
          <w:p>
            <w:pPr>
              <w:snapToGrid w:val="0"/>
              <w:jc w:val="center"/>
              <w:rPr>
                <w:color w:val="auto"/>
                <w:szCs w:val="21"/>
              </w:rPr>
            </w:pPr>
            <w:r>
              <w:rPr>
                <w:rFonts w:hint="eastAsia"/>
                <w:color w:val="auto"/>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noWrap/>
            <w:vAlign w:val="center"/>
          </w:tcPr>
          <w:p>
            <w:pPr>
              <w:pStyle w:val="37"/>
              <w:spacing w:beforeLines="0" w:afterLines="0" w:line="240" w:lineRule="auto"/>
              <w:rPr>
                <w:rFonts w:ascii="Times New Roman"/>
                <w:snapToGrid w:val="0"/>
                <w:color w:val="auto"/>
                <w:kern w:val="21"/>
                <w:szCs w:val="21"/>
              </w:rPr>
            </w:pPr>
          </w:p>
        </w:tc>
        <w:tc>
          <w:tcPr>
            <w:tcW w:w="1417" w:type="dxa"/>
            <w:noWrap/>
            <w:vAlign w:val="center"/>
          </w:tcPr>
          <w:p>
            <w:pPr>
              <w:pStyle w:val="2"/>
              <w:keepNext w:val="0"/>
              <w:keepLines w:val="0"/>
              <w:adjustRightInd/>
              <w:spacing w:line="264" w:lineRule="auto"/>
              <w:jc w:val="center"/>
              <w:rPr>
                <w:rFonts w:ascii="Times New Roman" w:hAnsi="Times New Roman"/>
                <w:color w:val="auto"/>
                <w:sz w:val="21"/>
                <w:szCs w:val="21"/>
              </w:rPr>
            </w:pPr>
            <w:r>
              <w:rPr>
                <w:rFonts w:ascii="Times New Roman" w:hAnsi="Times New Roman"/>
                <w:color w:val="auto"/>
                <w:sz w:val="21"/>
                <w:szCs w:val="21"/>
              </w:rPr>
              <w:t>SS</w:t>
            </w:r>
          </w:p>
        </w:tc>
        <w:tc>
          <w:tcPr>
            <w:tcW w:w="1808" w:type="dxa"/>
            <w:noWrap/>
            <w:vAlign w:val="center"/>
          </w:tcPr>
          <w:p>
            <w:pPr>
              <w:spacing w:line="264" w:lineRule="auto"/>
              <w:jc w:val="center"/>
              <w:rPr>
                <w:snapToGrid w:val="0"/>
                <w:color w:val="auto"/>
                <w:kern w:val="21"/>
                <w:szCs w:val="21"/>
              </w:rPr>
            </w:pPr>
            <w:r>
              <w:rPr>
                <w:rFonts w:hint="eastAsia"/>
                <w:snapToGrid w:val="0"/>
                <w:color w:val="auto"/>
                <w:szCs w:val="21"/>
              </w:rPr>
              <w:t>0.0451</w:t>
            </w:r>
          </w:p>
        </w:tc>
        <w:tc>
          <w:tcPr>
            <w:tcW w:w="1650" w:type="dxa"/>
            <w:noWrap/>
            <w:vAlign w:val="center"/>
          </w:tcPr>
          <w:p>
            <w:pPr>
              <w:jc w:val="center"/>
              <w:rPr>
                <w:snapToGrid w:val="0"/>
                <w:color w:val="auto"/>
                <w:kern w:val="21"/>
                <w:szCs w:val="21"/>
              </w:rPr>
            </w:pPr>
            <w:r>
              <w:rPr>
                <w:rFonts w:hint="eastAsia"/>
                <w:color w:val="auto"/>
                <w:szCs w:val="21"/>
              </w:rPr>
              <w:t>0</w:t>
            </w:r>
          </w:p>
        </w:tc>
        <w:tc>
          <w:tcPr>
            <w:tcW w:w="1575" w:type="dxa"/>
            <w:noWrap/>
            <w:vAlign w:val="center"/>
          </w:tcPr>
          <w:p>
            <w:pPr>
              <w:jc w:val="center"/>
              <w:rPr>
                <w:snapToGrid w:val="0"/>
                <w:color w:val="auto"/>
                <w:kern w:val="21"/>
                <w:szCs w:val="21"/>
              </w:rPr>
            </w:pPr>
            <w:r>
              <w:rPr>
                <w:rFonts w:hint="eastAsia"/>
                <w:color w:val="auto"/>
                <w:szCs w:val="21"/>
              </w:rPr>
              <w:t>0</w:t>
            </w:r>
          </w:p>
        </w:tc>
        <w:tc>
          <w:tcPr>
            <w:tcW w:w="1515" w:type="dxa"/>
            <w:noWrap/>
            <w:vAlign w:val="center"/>
          </w:tcPr>
          <w:p>
            <w:pPr>
              <w:jc w:val="center"/>
              <w:rPr>
                <w:color w:val="auto"/>
                <w:szCs w:val="21"/>
              </w:rPr>
            </w:pPr>
            <w:r>
              <w:rPr>
                <w:rFonts w:hint="eastAsia"/>
                <w:color w:val="auto"/>
                <w:szCs w:val="21"/>
              </w:rPr>
              <w:t>0</w:t>
            </w:r>
          </w:p>
        </w:tc>
        <w:tc>
          <w:tcPr>
            <w:tcW w:w="1755" w:type="dxa"/>
            <w:noWrap/>
            <w:vAlign w:val="center"/>
          </w:tcPr>
          <w:p>
            <w:pPr>
              <w:jc w:val="center"/>
              <w:rPr>
                <w:snapToGrid w:val="0"/>
                <w:color w:val="auto"/>
                <w:kern w:val="21"/>
                <w:szCs w:val="21"/>
              </w:rPr>
            </w:pPr>
            <w:r>
              <w:rPr>
                <w:rFonts w:hint="eastAsia"/>
                <w:color w:val="auto"/>
                <w:szCs w:val="21"/>
              </w:rPr>
              <w:t>0</w:t>
            </w:r>
          </w:p>
        </w:tc>
        <w:tc>
          <w:tcPr>
            <w:tcW w:w="1654" w:type="dxa"/>
            <w:noWrap/>
            <w:vAlign w:val="center"/>
          </w:tcPr>
          <w:p>
            <w:pPr>
              <w:spacing w:line="264" w:lineRule="auto"/>
              <w:jc w:val="center"/>
              <w:rPr>
                <w:color w:val="auto"/>
                <w:szCs w:val="21"/>
              </w:rPr>
            </w:pPr>
            <w:r>
              <w:rPr>
                <w:rFonts w:hint="eastAsia"/>
                <w:snapToGrid w:val="0"/>
                <w:color w:val="auto"/>
                <w:szCs w:val="21"/>
              </w:rPr>
              <w:t>0.0451</w:t>
            </w:r>
          </w:p>
        </w:tc>
        <w:tc>
          <w:tcPr>
            <w:tcW w:w="1028" w:type="dxa"/>
            <w:noWrap/>
            <w:vAlign w:val="center"/>
          </w:tcPr>
          <w:p>
            <w:pPr>
              <w:snapToGrid w:val="0"/>
              <w:jc w:val="center"/>
              <w:rPr>
                <w:color w:val="auto"/>
                <w:szCs w:val="21"/>
              </w:rPr>
            </w:pPr>
            <w:r>
              <w:rPr>
                <w:rFonts w:hint="eastAsia"/>
                <w:color w:val="auto"/>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noWrap/>
            <w:vAlign w:val="center"/>
          </w:tcPr>
          <w:p>
            <w:pPr>
              <w:pStyle w:val="37"/>
              <w:spacing w:beforeLines="0" w:afterLines="0" w:line="240" w:lineRule="auto"/>
              <w:rPr>
                <w:rFonts w:ascii="Times New Roman"/>
                <w:snapToGrid w:val="0"/>
                <w:color w:val="auto"/>
                <w:kern w:val="21"/>
                <w:szCs w:val="21"/>
              </w:rPr>
            </w:pPr>
          </w:p>
        </w:tc>
        <w:tc>
          <w:tcPr>
            <w:tcW w:w="1417" w:type="dxa"/>
            <w:noWrap/>
            <w:vAlign w:val="center"/>
          </w:tcPr>
          <w:p>
            <w:pPr>
              <w:pStyle w:val="2"/>
              <w:keepNext w:val="0"/>
              <w:keepLines w:val="0"/>
              <w:adjustRightInd/>
              <w:spacing w:line="264" w:lineRule="auto"/>
              <w:jc w:val="center"/>
              <w:rPr>
                <w:rFonts w:ascii="Times New Roman" w:hAnsi="Times New Roman"/>
                <w:color w:val="auto"/>
                <w:sz w:val="21"/>
                <w:szCs w:val="21"/>
              </w:rPr>
            </w:pPr>
            <w:r>
              <w:rPr>
                <w:rFonts w:ascii="Times New Roman" w:hAnsi="Times New Roman"/>
                <w:color w:val="auto"/>
                <w:sz w:val="21"/>
                <w:szCs w:val="21"/>
              </w:rPr>
              <w:t>NH</w:t>
            </w:r>
            <w:r>
              <w:rPr>
                <w:rFonts w:ascii="Times New Roman" w:hAnsi="Times New Roman"/>
                <w:color w:val="auto"/>
                <w:sz w:val="21"/>
                <w:szCs w:val="21"/>
                <w:vertAlign w:val="subscript"/>
              </w:rPr>
              <w:t>3</w:t>
            </w:r>
            <w:r>
              <w:rPr>
                <w:rFonts w:ascii="Times New Roman" w:hAnsi="Times New Roman"/>
                <w:color w:val="auto"/>
                <w:sz w:val="21"/>
                <w:szCs w:val="21"/>
              </w:rPr>
              <w:t>-N</w:t>
            </w:r>
          </w:p>
        </w:tc>
        <w:tc>
          <w:tcPr>
            <w:tcW w:w="1808" w:type="dxa"/>
            <w:noWrap/>
            <w:vAlign w:val="center"/>
          </w:tcPr>
          <w:p>
            <w:pPr>
              <w:spacing w:line="264" w:lineRule="auto"/>
              <w:jc w:val="center"/>
              <w:rPr>
                <w:snapToGrid w:val="0"/>
                <w:color w:val="auto"/>
                <w:kern w:val="21"/>
                <w:szCs w:val="21"/>
              </w:rPr>
            </w:pPr>
            <w:r>
              <w:rPr>
                <w:rFonts w:hint="eastAsia"/>
                <w:snapToGrid w:val="0"/>
                <w:color w:val="auto"/>
                <w:szCs w:val="21"/>
              </w:rPr>
              <w:t>0.0073</w:t>
            </w:r>
          </w:p>
        </w:tc>
        <w:tc>
          <w:tcPr>
            <w:tcW w:w="1650" w:type="dxa"/>
            <w:noWrap/>
            <w:vAlign w:val="center"/>
          </w:tcPr>
          <w:p>
            <w:pPr>
              <w:jc w:val="center"/>
              <w:rPr>
                <w:snapToGrid w:val="0"/>
                <w:color w:val="auto"/>
                <w:kern w:val="21"/>
                <w:szCs w:val="21"/>
              </w:rPr>
            </w:pPr>
            <w:r>
              <w:rPr>
                <w:rFonts w:hint="eastAsia"/>
                <w:color w:val="auto"/>
                <w:szCs w:val="21"/>
              </w:rPr>
              <w:t>0</w:t>
            </w:r>
          </w:p>
        </w:tc>
        <w:tc>
          <w:tcPr>
            <w:tcW w:w="1575" w:type="dxa"/>
            <w:noWrap/>
            <w:vAlign w:val="center"/>
          </w:tcPr>
          <w:p>
            <w:pPr>
              <w:jc w:val="center"/>
              <w:rPr>
                <w:snapToGrid w:val="0"/>
                <w:color w:val="auto"/>
                <w:kern w:val="21"/>
                <w:szCs w:val="21"/>
              </w:rPr>
            </w:pPr>
            <w:r>
              <w:rPr>
                <w:rFonts w:hint="eastAsia"/>
                <w:color w:val="auto"/>
                <w:szCs w:val="21"/>
              </w:rPr>
              <w:t>0</w:t>
            </w:r>
          </w:p>
        </w:tc>
        <w:tc>
          <w:tcPr>
            <w:tcW w:w="1515" w:type="dxa"/>
            <w:noWrap/>
            <w:vAlign w:val="center"/>
          </w:tcPr>
          <w:p>
            <w:pPr>
              <w:jc w:val="center"/>
              <w:rPr>
                <w:color w:val="auto"/>
                <w:kern w:val="0"/>
                <w:szCs w:val="21"/>
              </w:rPr>
            </w:pPr>
            <w:r>
              <w:rPr>
                <w:rFonts w:hint="eastAsia"/>
                <w:color w:val="auto"/>
                <w:szCs w:val="21"/>
              </w:rPr>
              <w:t>0</w:t>
            </w:r>
          </w:p>
        </w:tc>
        <w:tc>
          <w:tcPr>
            <w:tcW w:w="1755" w:type="dxa"/>
            <w:noWrap/>
            <w:vAlign w:val="center"/>
          </w:tcPr>
          <w:p>
            <w:pPr>
              <w:jc w:val="center"/>
              <w:rPr>
                <w:snapToGrid w:val="0"/>
                <w:color w:val="auto"/>
                <w:kern w:val="21"/>
                <w:szCs w:val="21"/>
              </w:rPr>
            </w:pPr>
            <w:r>
              <w:rPr>
                <w:rFonts w:hint="eastAsia"/>
                <w:color w:val="auto"/>
                <w:szCs w:val="21"/>
              </w:rPr>
              <w:t>0</w:t>
            </w:r>
          </w:p>
        </w:tc>
        <w:tc>
          <w:tcPr>
            <w:tcW w:w="1654" w:type="dxa"/>
            <w:noWrap/>
            <w:vAlign w:val="center"/>
          </w:tcPr>
          <w:p>
            <w:pPr>
              <w:spacing w:line="264" w:lineRule="auto"/>
              <w:jc w:val="center"/>
              <w:rPr>
                <w:color w:val="auto"/>
                <w:kern w:val="0"/>
                <w:szCs w:val="21"/>
              </w:rPr>
            </w:pPr>
            <w:r>
              <w:rPr>
                <w:rFonts w:hint="eastAsia"/>
                <w:snapToGrid w:val="0"/>
                <w:color w:val="auto"/>
                <w:szCs w:val="21"/>
              </w:rPr>
              <w:t>0.0073</w:t>
            </w:r>
          </w:p>
        </w:tc>
        <w:tc>
          <w:tcPr>
            <w:tcW w:w="1028" w:type="dxa"/>
            <w:noWrap/>
            <w:vAlign w:val="center"/>
          </w:tcPr>
          <w:p>
            <w:pPr>
              <w:snapToGrid w:val="0"/>
              <w:jc w:val="center"/>
              <w:rPr>
                <w:color w:val="auto"/>
                <w:kern w:val="0"/>
                <w:szCs w:val="21"/>
              </w:rPr>
            </w:pPr>
            <w:r>
              <w:rPr>
                <w:rFonts w:hint="eastAsia"/>
                <w:color w:val="auto"/>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noWrap/>
            <w:vAlign w:val="center"/>
          </w:tcPr>
          <w:p>
            <w:pPr>
              <w:pStyle w:val="37"/>
              <w:spacing w:beforeLines="0" w:afterLines="0" w:line="240" w:lineRule="auto"/>
              <w:rPr>
                <w:rFonts w:ascii="Times New Roman"/>
                <w:snapToGrid w:val="0"/>
                <w:color w:val="auto"/>
                <w:kern w:val="21"/>
                <w:szCs w:val="21"/>
              </w:rPr>
            </w:pPr>
          </w:p>
        </w:tc>
        <w:tc>
          <w:tcPr>
            <w:tcW w:w="1417" w:type="dxa"/>
            <w:noWrap/>
            <w:vAlign w:val="center"/>
          </w:tcPr>
          <w:p>
            <w:pPr>
              <w:pStyle w:val="2"/>
              <w:keepNext w:val="0"/>
              <w:keepLines w:val="0"/>
              <w:adjustRightInd/>
              <w:spacing w:line="264" w:lineRule="auto"/>
              <w:jc w:val="center"/>
              <w:rPr>
                <w:rFonts w:ascii="Times New Roman" w:hAnsi="Times New Roman"/>
                <w:color w:val="auto"/>
                <w:sz w:val="21"/>
                <w:szCs w:val="21"/>
              </w:rPr>
            </w:pPr>
            <w:r>
              <w:rPr>
                <w:rFonts w:ascii="Times New Roman" w:hAnsi="Times New Roman"/>
                <w:color w:val="auto"/>
                <w:sz w:val="21"/>
                <w:szCs w:val="21"/>
              </w:rPr>
              <w:t>TP</w:t>
            </w:r>
          </w:p>
        </w:tc>
        <w:tc>
          <w:tcPr>
            <w:tcW w:w="1808" w:type="dxa"/>
            <w:noWrap/>
            <w:vAlign w:val="center"/>
          </w:tcPr>
          <w:p>
            <w:pPr>
              <w:spacing w:line="264" w:lineRule="auto"/>
              <w:jc w:val="center"/>
              <w:rPr>
                <w:snapToGrid w:val="0"/>
                <w:color w:val="auto"/>
                <w:kern w:val="21"/>
                <w:szCs w:val="21"/>
              </w:rPr>
            </w:pPr>
            <w:r>
              <w:rPr>
                <w:rFonts w:hint="eastAsia"/>
                <w:snapToGrid w:val="0"/>
                <w:color w:val="auto"/>
                <w:szCs w:val="21"/>
              </w:rPr>
              <w:t>0.0013</w:t>
            </w:r>
          </w:p>
        </w:tc>
        <w:tc>
          <w:tcPr>
            <w:tcW w:w="1650" w:type="dxa"/>
            <w:noWrap/>
            <w:vAlign w:val="center"/>
          </w:tcPr>
          <w:p>
            <w:pPr>
              <w:jc w:val="center"/>
              <w:rPr>
                <w:snapToGrid w:val="0"/>
                <w:color w:val="auto"/>
                <w:kern w:val="21"/>
                <w:szCs w:val="21"/>
              </w:rPr>
            </w:pPr>
            <w:r>
              <w:rPr>
                <w:rFonts w:hint="eastAsia"/>
                <w:color w:val="auto"/>
                <w:szCs w:val="21"/>
              </w:rPr>
              <w:t>0</w:t>
            </w:r>
          </w:p>
        </w:tc>
        <w:tc>
          <w:tcPr>
            <w:tcW w:w="1575" w:type="dxa"/>
            <w:noWrap/>
            <w:vAlign w:val="center"/>
          </w:tcPr>
          <w:p>
            <w:pPr>
              <w:jc w:val="center"/>
              <w:rPr>
                <w:snapToGrid w:val="0"/>
                <w:color w:val="auto"/>
                <w:kern w:val="21"/>
                <w:szCs w:val="21"/>
              </w:rPr>
            </w:pPr>
            <w:r>
              <w:rPr>
                <w:rFonts w:hint="eastAsia"/>
                <w:color w:val="auto"/>
                <w:szCs w:val="21"/>
              </w:rPr>
              <w:t>0</w:t>
            </w:r>
          </w:p>
        </w:tc>
        <w:tc>
          <w:tcPr>
            <w:tcW w:w="1515" w:type="dxa"/>
            <w:noWrap/>
            <w:vAlign w:val="center"/>
          </w:tcPr>
          <w:p>
            <w:pPr>
              <w:jc w:val="center"/>
              <w:rPr>
                <w:color w:val="auto"/>
                <w:szCs w:val="21"/>
              </w:rPr>
            </w:pPr>
            <w:r>
              <w:rPr>
                <w:rFonts w:hint="eastAsia"/>
                <w:color w:val="auto"/>
                <w:szCs w:val="21"/>
              </w:rPr>
              <w:t>0</w:t>
            </w:r>
          </w:p>
        </w:tc>
        <w:tc>
          <w:tcPr>
            <w:tcW w:w="1755" w:type="dxa"/>
            <w:noWrap/>
            <w:vAlign w:val="center"/>
          </w:tcPr>
          <w:p>
            <w:pPr>
              <w:jc w:val="center"/>
              <w:rPr>
                <w:snapToGrid w:val="0"/>
                <w:color w:val="auto"/>
                <w:kern w:val="21"/>
                <w:szCs w:val="21"/>
              </w:rPr>
            </w:pPr>
            <w:r>
              <w:rPr>
                <w:rFonts w:hint="eastAsia"/>
                <w:color w:val="auto"/>
                <w:szCs w:val="21"/>
              </w:rPr>
              <w:t>0</w:t>
            </w:r>
          </w:p>
        </w:tc>
        <w:tc>
          <w:tcPr>
            <w:tcW w:w="1654" w:type="dxa"/>
            <w:noWrap/>
            <w:vAlign w:val="center"/>
          </w:tcPr>
          <w:p>
            <w:pPr>
              <w:spacing w:line="264" w:lineRule="auto"/>
              <w:jc w:val="center"/>
              <w:rPr>
                <w:color w:val="auto"/>
                <w:szCs w:val="21"/>
              </w:rPr>
            </w:pPr>
            <w:r>
              <w:rPr>
                <w:rFonts w:hint="eastAsia"/>
                <w:snapToGrid w:val="0"/>
                <w:color w:val="auto"/>
                <w:szCs w:val="21"/>
              </w:rPr>
              <w:t>0.0013</w:t>
            </w:r>
          </w:p>
        </w:tc>
        <w:tc>
          <w:tcPr>
            <w:tcW w:w="1028" w:type="dxa"/>
            <w:noWrap/>
            <w:vAlign w:val="center"/>
          </w:tcPr>
          <w:p>
            <w:pPr>
              <w:snapToGrid w:val="0"/>
              <w:jc w:val="center"/>
              <w:rPr>
                <w:color w:val="auto"/>
                <w:szCs w:val="21"/>
              </w:rPr>
            </w:pPr>
            <w:r>
              <w:rPr>
                <w:rFonts w:hint="eastAsia"/>
                <w:color w:val="auto"/>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noWrap/>
            <w:vAlign w:val="center"/>
          </w:tcPr>
          <w:p>
            <w:pPr>
              <w:pStyle w:val="37"/>
              <w:spacing w:beforeLines="0" w:afterLines="0" w:line="240" w:lineRule="auto"/>
              <w:rPr>
                <w:rFonts w:ascii="Times New Roman"/>
                <w:snapToGrid w:val="0"/>
                <w:color w:val="auto"/>
                <w:kern w:val="21"/>
                <w:szCs w:val="21"/>
              </w:rPr>
            </w:pPr>
          </w:p>
        </w:tc>
        <w:tc>
          <w:tcPr>
            <w:tcW w:w="1417" w:type="dxa"/>
            <w:noWrap/>
            <w:vAlign w:val="center"/>
          </w:tcPr>
          <w:p>
            <w:pPr>
              <w:pStyle w:val="2"/>
              <w:keepNext w:val="0"/>
              <w:keepLines w:val="0"/>
              <w:adjustRightInd/>
              <w:spacing w:line="264" w:lineRule="auto"/>
              <w:jc w:val="center"/>
              <w:rPr>
                <w:rFonts w:ascii="Times New Roman" w:hAnsi="Times New Roman"/>
                <w:color w:val="auto"/>
                <w:sz w:val="21"/>
                <w:szCs w:val="21"/>
              </w:rPr>
            </w:pPr>
            <w:r>
              <w:rPr>
                <w:rFonts w:hint="eastAsia" w:ascii="Times New Roman" w:hAnsi="Times New Roman"/>
                <w:color w:val="auto"/>
                <w:sz w:val="21"/>
                <w:szCs w:val="21"/>
              </w:rPr>
              <w:t>TN</w:t>
            </w:r>
          </w:p>
        </w:tc>
        <w:tc>
          <w:tcPr>
            <w:tcW w:w="1808" w:type="dxa"/>
            <w:noWrap/>
            <w:vAlign w:val="center"/>
          </w:tcPr>
          <w:p>
            <w:pPr>
              <w:spacing w:line="264" w:lineRule="auto"/>
              <w:jc w:val="center"/>
              <w:rPr>
                <w:color w:val="auto"/>
                <w:szCs w:val="21"/>
              </w:rPr>
            </w:pPr>
            <w:r>
              <w:rPr>
                <w:rFonts w:hint="eastAsia"/>
                <w:snapToGrid w:val="0"/>
                <w:color w:val="auto"/>
                <w:szCs w:val="21"/>
              </w:rPr>
              <w:t>0.0113</w:t>
            </w:r>
          </w:p>
        </w:tc>
        <w:tc>
          <w:tcPr>
            <w:tcW w:w="1650" w:type="dxa"/>
            <w:noWrap/>
            <w:vAlign w:val="center"/>
          </w:tcPr>
          <w:p>
            <w:pPr>
              <w:jc w:val="center"/>
              <w:rPr>
                <w:color w:val="auto"/>
                <w:szCs w:val="21"/>
              </w:rPr>
            </w:pPr>
            <w:r>
              <w:rPr>
                <w:snapToGrid w:val="0"/>
                <w:color w:val="auto"/>
                <w:kern w:val="21"/>
                <w:szCs w:val="21"/>
              </w:rPr>
              <w:t>0</w:t>
            </w:r>
          </w:p>
        </w:tc>
        <w:tc>
          <w:tcPr>
            <w:tcW w:w="1575" w:type="dxa"/>
            <w:noWrap/>
            <w:vAlign w:val="center"/>
          </w:tcPr>
          <w:p>
            <w:pPr>
              <w:jc w:val="center"/>
              <w:rPr>
                <w:color w:val="auto"/>
                <w:szCs w:val="21"/>
              </w:rPr>
            </w:pPr>
            <w:r>
              <w:rPr>
                <w:snapToGrid w:val="0"/>
                <w:color w:val="auto"/>
                <w:kern w:val="21"/>
                <w:szCs w:val="21"/>
              </w:rPr>
              <w:t>0</w:t>
            </w:r>
          </w:p>
        </w:tc>
        <w:tc>
          <w:tcPr>
            <w:tcW w:w="1515" w:type="dxa"/>
            <w:noWrap/>
            <w:vAlign w:val="center"/>
          </w:tcPr>
          <w:p>
            <w:pPr>
              <w:pStyle w:val="37"/>
              <w:spacing w:beforeLines="0" w:afterLines="0" w:line="240" w:lineRule="auto"/>
              <w:rPr>
                <w:color w:val="auto"/>
                <w:kern w:val="2"/>
                <w:szCs w:val="21"/>
              </w:rPr>
            </w:pPr>
            <w:r>
              <w:rPr>
                <w:rFonts w:ascii="Times New Roman"/>
                <w:snapToGrid w:val="0"/>
                <w:color w:val="auto"/>
                <w:kern w:val="21"/>
                <w:szCs w:val="21"/>
              </w:rPr>
              <w:t>0</w:t>
            </w:r>
          </w:p>
        </w:tc>
        <w:tc>
          <w:tcPr>
            <w:tcW w:w="1755" w:type="dxa"/>
            <w:noWrap/>
            <w:vAlign w:val="center"/>
          </w:tcPr>
          <w:p>
            <w:pPr>
              <w:pStyle w:val="37"/>
              <w:spacing w:beforeLines="0" w:afterLines="0" w:line="240" w:lineRule="auto"/>
              <w:rPr>
                <w:color w:val="auto"/>
                <w:kern w:val="2"/>
                <w:szCs w:val="21"/>
              </w:rPr>
            </w:pPr>
            <w:r>
              <w:rPr>
                <w:rFonts w:ascii="Times New Roman"/>
                <w:snapToGrid w:val="0"/>
                <w:color w:val="auto"/>
                <w:kern w:val="21"/>
                <w:szCs w:val="21"/>
              </w:rPr>
              <w:t>0</w:t>
            </w:r>
          </w:p>
        </w:tc>
        <w:tc>
          <w:tcPr>
            <w:tcW w:w="1654" w:type="dxa"/>
            <w:noWrap/>
            <w:vAlign w:val="center"/>
          </w:tcPr>
          <w:p>
            <w:pPr>
              <w:spacing w:line="264" w:lineRule="auto"/>
              <w:jc w:val="center"/>
              <w:rPr>
                <w:color w:val="auto"/>
                <w:szCs w:val="21"/>
              </w:rPr>
            </w:pPr>
            <w:r>
              <w:rPr>
                <w:rFonts w:hint="eastAsia"/>
                <w:snapToGrid w:val="0"/>
                <w:color w:val="auto"/>
                <w:szCs w:val="21"/>
              </w:rPr>
              <w:t>0.0113</w:t>
            </w:r>
          </w:p>
        </w:tc>
        <w:tc>
          <w:tcPr>
            <w:tcW w:w="1028" w:type="dxa"/>
            <w:noWrap/>
            <w:vAlign w:val="center"/>
          </w:tcPr>
          <w:p>
            <w:pPr>
              <w:snapToGrid w:val="0"/>
              <w:jc w:val="center"/>
              <w:rPr>
                <w:color w:val="auto"/>
                <w:szCs w:val="21"/>
              </w:rPr>
            </w:pPr>
            <w:r>
              <w:rPr>
                <w:rFonts w:hint="eastAsia"/>
                <w:color w:val="auto"/>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588" w:type="dxa"/>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生活垃圾</w:t>
            </w:r>
          </w:p>
        </w:tc>
        <w:tc>
          <w:tcPr>
            <w:tcW w:w="1417" w:type="dxa"/>
            <w:noWrap/>
            <w:vAlign w:val="center"/>
          </w:tcPr>
          <w:p>
            <w:pPr>
              <w:autoSpaceDE w:val="0"/>
              <w:autoSpaceDN w:val="0"/>
              <w:snapToGrid w:val="0"/>
              <w:jc w:val="center"/>
              <w:rPr>
                <w:snapToGrid w:val="0"/>
                <w:color w:val="auto"/>
                <w:kern w:val="21"/>
                <w:szCs w:val="21"/>
              </w:rPr>
            </w:pPr>
            <w:r>
              <w:rPr>
                <w:color w:val="auto"/>
                <w:szCs w:val="21"/>
              </w:rPr>
              <w:t>生活垃圾</w:t>
            </w:r>
          </w:p>
        </w:tc>
        <w:tc>
          <w:tcPr>
            <w:tcW w:w="1808" w:type="dxa"/>
            <w:noWrap/>
            <w:vAlign w:val="center"/>
          </w:tcPr>
          <w:p>
            <w:pPr>
              <w:jc w:val="center"/>
              <w:rPr>
                <w:snapToGrid w:val="0"/>
                <w:color w:val="auto"/>
                <w:kern w:val="21"/>
                <w:szCs w:val="21"/>
              </w:rPr>
            </w:pPr>
            <w:r>
              <w:rPr>
                <w:rFonts w:hint="eastAsia"/>
                <w:snapToGrid w:val="0"/>
                <w:color w:val="auto"/>
                <w:kern w:val="21"/>
                <w:szCs w:val="21"/>
              </w:rPr>
              <w:t>1.68</w:t>
            </w:r>
          </w:p>
        </w:tc>
        <w:tc>
          <w:tcPr>
            <w:tcW w:w="1650" w:type="dxa"/>
            <w:noWrap/>
            <w:vAlign w:val="center"/>
          </w:tcPr>
          <w:p>
            <w:pPr>
              <w:jc w:val="center"/>
              <w:rPr>
                <w:snapToGrid w:val="0"/>
                <w:color w:val="auto"/>
                <w:kern w:val="21"/>
                <w:szCs w:val="21"/>
              </w:rPr>
            </w:pPr>
            <w:r>
              <w:rPr>
                <w:rFonts w:hint="eastAsia"/>
                <w:snapToGrid w:val="0"/>
                <w:color w:val="auto"/>
                <w:kern w:val="21"/>
                <w:szCs w:val="21"/>
              </w:rPr>
              <w:t>0</w:t>
            </w:r>
          </w:p>
        </w:tc>
        <w:tc>
          <w:tcPr>
            <w:tcW w:w="1575" w:type="dxa"/>
            <w:noWrap/>
            <w:vAlign w:val="center"/>
          </w:tcPr>
          <w:p>
            <w:pPr>
              <w:jc w:val="center"/>
              <w:rPr>
                <w:snapToGrid w:val="0"/>
                <w:color w:val="auto"/>
                <w:kern w:val="21"/>
                <w:szCs w:val="21"/>
              </w:rPr>
            </w:pPr>
            <w:r>
              <w:rPr>
                <w:rFonts w:hint="eastAsia"/>
                <w:snapToGrid w:val="0"/>
                <w:color w:val="auto"/>
                <w:kern w:val="21"/>
                <w:szCs w:val="21"/>
              </w:rPr>
              <w:t>0</w:t>
            </w:r>
          </w:p>
        </w:tc>
        <w:tc>
          <w:tcPr>
            <w:tcW w:w="1515" w:type="dxa"/>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1755" w:type="dxa"/>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1654" w:type="dxa"/>
            <w:noWrap/>
            <w:vAlign w:val="center"/>
          </w:tcPr>
          <w:p>
            <w:pPr>
              <w:jc w:val="center"/>
              <w:rPr>
                <w:snapToGrid w:val="0"/>
                <w:color w:val="auto"/>
                <w:kern w:val="21"/>
                <w:szCs w:val="21"/>
              </w:rPr>
            </w:pPr>
            <w:r>
              <w:rPr>
                <w:rFonts w:hint="eastAsia"/>
                <w:snapToGrid w:val="0"/>
                <w:color w:val="auto"/>
                <w:kern w:val="21"/>
                <w:szCs w:val="21"/>
              </w:rPr>
              <w:t>1.68</w:t>
            </w:r>
          </w:p>
        </w:tc>
        <w:tc>
          <w:tcPr>
            <w:tcW w:w="1028" w:type="dxa"/>
            <w:noWrap/>
            <w:vAlign w:val="center"/>
          </w:tcPr>
          <w:p>
            <w:pPr>
              <w:jc w:val="center"/>
              <w:rPr>
                <w:snapToGrid w:val="0"/>
                <w:color w:val="auto"/>
                <w:kern w:val="21"/>
                <w:szCs w:val="21"/>
              </w:rPr>
            </w:pPr>
            <w:r>
              <w:rPr>
                <w:snapToGrid w:val="0"/>
                <w:color w:val="auto"/>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588" w:type="dxa"/>
            <w:noWrap/>
            <w:vAlign w:val="center"/>
          </w:tcPr>
          <w:p>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一般工业</w:t>
            </w:r>
          </w:p>
          <w:p>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固体废物</w:t>
            </w:r>
          </w:p>
        </w:tc>
        <w:tc>
          <w:tcPr>
            <w:tcW w:w="1417" w:type="dxa"/>
            <w:noWrap/>
            <w:vAlign w:val="center"/>
          </w:tcPr>
          <w:p>
            <w:pPr>
              <w:autoSpaceDE w:val="0"/>
              <w:autoSpaceDN w:val="0"/>
              <w:snapToGrid w:val="0"/>
              <w:jc w:val="center"/>
              <w:rPr>
                <w:color w:val="auto"/>
                <w:szCs w:val="21"/>
              </w:rPr>
            </w:pPr>
            <w:r>
              <w:rPr>
                <w:rFonts w:hint="eastAsia"/>
                <w:color w:val="auto"/>
                <w:szCs w:val="21"/>
              </w:rPr>
              <w:t>不合格品</w:t>
            </w:r>
          </w:p>
        </w:tc>
        <w:tc>
          <w:tcPr>
            <w:tcW w:w="1808" w:type="dxa"/>
            <w:noWrap/>
            <w:vAlign w:val="center"/>
          </w:tcPr>
          <w:p>
            <w:pPr>
              <w:jc w:val="center"/>
              <w:rPr>
                <w:snapToGrid w:val="0"/>
                <w:color w:val="auto"/>
                <w:kern w:val="21"/>
                <w:szCs w:val="21"/>
              </w:rPr>
            </w:pPr>
            <w:r>
              <w:rPr>
                <w:rFonts w:hint="eastAsia"/>
                <w:snapToGrid w:val="0"/>
                <w:color w:val="auto"/>
                <w:kern w:val="21"/>
                <w:szCs w:val="21"/>
              </w:rPr>
              <w:t>20</w:t>
            </w:r>
          </w:p>
        </w:tc>
        <w:tc>
          <w:tcPr>
            <w:tcW w:w="1650" w:type="dxa"/>
            <w:noWrap/>
            <w:vAlign w:val="center"/>
          </w:tcPr>
          <w:p>
            <w:pPr>
              <w:jc w:val="center"/>
              <w:rPr>
                <w:snapToGrid w:val="0"/>
                <w:color w:val="auto"/>
                <w:kern w:val="21"/>
                <w:szCs w:val="21"/>
              </w:rPr>
            </w:pPr>
            <w:r>
              <w:rPr>
                <w:snapToGrid w:val="0"/>
                <w:color w:val="auto"/>
                <w:kern w:val="21"/>
                <w:szCs w:val="21"/>
              </w:rPr>
              <w:t>0</w:t>
            </w:r>
          </w:p>
        </w:tc>
        <w:tc>
          <w:tcPr>
            <w:tcW w:w="1575" w:type="dxa"/>
            <w:noWrap/>
            <w:vAlign w:val="center"/>
          </w:tcPr>
          <w:p>
            <w:pPr>
              <w:jc w:val="center"/>
              <w:rPr>
                <w:snapToGrid w:val="0"/>
                <w:color w:val="auto"/>
                <w:kern w:val="21"/>
                <w:szCs w:val="21"/>
              </w:rPr>
            </w:pPr>
            <w:r>
              <w:rPr>
                <w:snapToGrid w:val="0"/>
                <w:color w:val="auto"/>
                <w:kern w:val="21"/>
                <w:szCs w:val="21"/>
              </w:rPr>
              <w:t>0</w:t>
            </w:r>
          </w:p>
        </w:tc>
        <w:tc>
          <w:tcPr>
            <w:tcW w:w="1515" w:type="dxa"/>
            <w:noWrap/>
            <w:vAlign w:val="center"/>
          </w:tcPr>
          <w:p>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755" w:type="dxa"/>
            <w:noWrap/>
            <w:vAlign w:val="center"/>
          </w:tcPr>
          <w:p>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54" w:type="dxa"/>
            <w:noWrap/>
            <w:vAlign w:val="center"/>
          </w:tcPr>
          <w:p>
            <w:pPr>
              <w:jc w:val="center"/>
              <w:rPr>
                <w:snapToGrid w:val="0"/>
                <w:color w:val="auto"/>
                <w:kern w:val="21"/>
                <w:szCs w:val="21"/>
              </w:rPr>
            </w:pPr>
            <w:r>
              <w:rPr>
                <w:rFonts w:hint="eastAsia"/>
                <w:snapToGrid w:val="0"/>
                <w:color w:val="auto"/>
                <w:kern w:val="21"/>
                <w:szCs w:val="21"/>
              </w:rPr>
              <w:t>20</w:t>
            </w:r>
          </w:p>
        </w:tc>
        <w:tc>
          <w:tcPr>
            <w:tcW w:w="1028" w:type="dxa"/>
            <w:noWrap/>
            <w:vAlign w:val="center"/>
          </w:tcPr>
          <w:p>
            <w:pPr>
              <w:jc w:val="center"/>
              <w:rPr>
                <w:snapToGrid w:val="0"/>
                <w:color w:val="auto"/>
                <w:kern w:val="21"/>
                <w:szCs w:val="21"/>
              </w:rPr>
            </w:pPr>
            <w:r>
              <w:rPr>
                <w:snapToGrid w:val="0"/>
                <w:color w:val="auto"/>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588" w:type="dxa"/>
            <w:vMerge w:val="restart"/>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危险废物</w:t>
            </w:r>
          </w:p>
        </w:tc>
        <w:tc>
          <w:tcPr>
            <w:tcW w:w="1417" w:type="dxa"/>
            <w:noWrap/>
            <w:vAlign w:val="center"/>
          </w:tcPr>
          <w:p>
            <w:pPr>
              <w:autoSpaceDE w:val="0"/>
              <w:autoSpaceDN w:val="0"/>
              <w:snapToGrid w:val="0"/>
              <w:jc w:val="center"/>
              <w:rPr>
                <w:color w:val="auto"/>
                <w:szCs w:val="21"/>
              </w:rPr>
            </w:pPr>
            <w:r>
              <w:rPr>
                <w:rFonts w:hint="eastAsia"/>
                <w:color w:val="auto"/>
                <w:szCs w:val="21"/>
              </w:rPr>
              <w:t>废包装桶</w:t>
            </w:r>
          </w:p>
        </w:tc>
        <w:tc>
          <w:tcPr>
            <w:tcW w:w="1808" w:type="dxa"/>
            <w:noWrap/>
            <w:vAlign w:val="center"/>
          </w:tcPr>
          <w:p>
            <w:pPr>
              <w:jc w:val="center"/>
              <w:rPr>
                <w:snapToGrid w:val="0"/>
                <w:color w:val="auto"/>
                <w:kern w:val="21"/>
                <w:szCs w:val="21"/>
              </w:rPr>
            </w:pPr>
            <w:r>
              <w:rPr>
                <w:rFonts w:hint="eastAsia"/>
                <w:snapToGrid w:val="0"/>
                <w:color w:val="auto"/>
                <w:kern w:val="21"/>
                <w:szCs w:val="21"/>
              </w:rPr>
              <w:t>0.5</w:t>
            </w:r>
          </w:p>
        </w:tc>
        <w:tc>
          <w:tcPr>
            <w:tcW w:w="1650" w:type="dxa"/>
            <w:noWrap/>
            <w:vAlign w:val="center"/>
          </w:tcPr>
          <w:p>
            <w:pPr>
              <w:jc w:val="center"/>
              <w:rPr>
                <w:snapToGrid w:val="0"/>
                <w:color w:val="auto"/>
                <w:kern w:val="21"/>
                <w:szCs w:val="21"/>
              </w:rPr>
            </w:pPr>
            <w:r>
              <w:rPr>
                <w:rFonts w:hint="eastAsia"/>
                <w:snapToGrid w:val="0"/>
                <w:color w:val="auto"/>
                <w:kern w:val="21"/>
                <w:szCs w:val="21"/>
              </w:rPr>
              <w:t>0</w:t>
            </w:r>
          </w:p>
        </w:tc>
        <w:tc>
          <w:tcPr>
            <w:tcW w:w="1575" w:type="dxa"/>
            <w:noWrap/>
            <w:vAlign w:val="center"/>
          </w:tcPr>
          <w:p>
            <w:pPr>
              <w:jc w:val="center"/>
              <w:rPr>
                <w:snapToGrid w:val="0"/>
                <w:color w:val="auto"/>
                <w:kern w:val="21"/>
                <w:szCs w:val="21"/>
              </w:rPr>
            </w:pPr>
            <w:r>
              <w:rPr>
                <w:rFonts w:hint="eastAsia"/>
                <w:snapToGrid w:val="0"/>
                <w:color w:val="auto"/>
                <w:kern w:val="21"/>
                <w:szCs w:val="21"/>
              </w:rPr>
              <w:t>0</w:t>
            </w:r>
          </w:p>
        </w:tc>
        <w:tc>
          <w:tcPr>
            <w:tcW w:w="1515" w:type="dxa"/>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1755" w:type="dxa"/>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1654" w:type="dxa"/>
            <w:noWrap/>
            <w:vAlign w:val="center"/>
          </w:tcPr>
          <w:p>
            <w:pPr>
              <w:jc w:val="center"/>
              <w:rPr>
                <w:snapToGrid w:val="0"/>
                <w:color w:val="auto"/>
                <w:kern w:val="21"/>
                <w:szCs w:val="21"/>
              </w:rPr>
            </w:pPr>
            <w:r>
              <w:rPr>
                <w:rFonts w:hint="eastAsia"/>
                <w:snapToGrid w:val="0"/>
                <w:color w:val="auto"/>
                <w:kern w:val="21"/>
                <w:szCs w:val="21"/>
              </w:rPr>
              <w:t>0.5</w:t>
            </w:r>
          </w:p>
        </w:tc>
        <w:tc>
          <w:tcPr>
            <w:tcW w:w="1028" w:type="dxa"/>
            <w:noWrap/>
            <w:vAlign w:val="center"/>
          </w:tcPr>
          <w:p>
            <w:pPr>
              <w:jc w:val="center"/>
              <w:rPr>
                <w:snapToGrid w:val="0"/>
                <w:color w:val="auto"/>
                <w:kern w:val="21"/>
                <w:szCs w:val="21"/>
              </w:rPr>
            </w:pPr>
            <w:r>
              <w:rPr>
                <w:snapToGrid w:val="0"/>
                <w:color w:val="auto"/>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588" w:type="dxa"/>
            <w:vMerge w:val="continue"/>
            <w:noWrap/>
            <w:vAlign w:val="center"/>
          </w:tcPr>
          <w:p>
            <w:pPr>
              <w:pStyle w:val="37"/>
              <w:spacing w:beforeLines="0" w:afterLines="0" w:line="240" w:lineRule="auto"/>
              <w:rPr>
                <w:rFonts w:ascii="Times New Roman"/>
                <w:snapToGrid w:val="0"/>
                <w:color w:val="auto"/>
                <w:kern w:val="21"/>
                <w:szCs w:val="21"/>
              </w:rPr>
            </w:pPr>
          </w:p>
        </w:tc>
        <w:tc>
          <w:tcPr>
            <w:tcW w:w="1417" w:type="dxa"/>
            <w:noWrap/>
            <w:vAlign w:val="center"/>
          </w:tcPr>
          <w:p>
            <w:pPr>
              <w:autoSpaceDE w:val="0"/>
              <w:autoSpaceDN w:val="0"/>
              <w:snapToGrid w:val="0"/>
              <w:jc w:val="center"/>
              <w:rPr>
                <w:color w:val="auto"/>
                <w:szCs w:val="21"/>
              </w:rPr>
            </w:pPr>
            <w:r>
              <w:rPr>
                <w:rFonts w:hint="eastAsia"/>
                <w:color w:val="auto"/>
                <w:szCs w:val="21"/>
              </w:rPr>
              <w:t>废包装瓶</w:t>
            </w:r>
          </w:p>
        </w:tc>
        <w:tc>
          <w:tcPr>
            <w:tcW w:w="1808" w:type="dxa"/>
            <w:noWrap/>
            <w:vAlign w:val="center"/>
          </w:tcPr>
          <w:p>
            <w:pPr>
              <w:jc w:val="center"/>
              <w:rPr>
                <w:snapToGrid w:val="0"/>
                <w:color w:val="auto"/>
                <w:kern w:val="21"/>
                <w:szCs w:val="21"/>
              </w:rPr>
            </w:pPr>
            <w:r>
              <w:rPr>
                <w:rFonts w:hint="eastAsia"/>
                <w:snapToGrid w:val="0"/>
                <w:color w:val="auto"/>
                <w:kern w:val="21"/>
                <w:szCs w:val="21"/>
              </w:rPr>
              <w:t>0.1</w:t>
            </w:r>
          </w:p>
        </w:tc>
        <w:tc>
          <w:tcPr>
            <w:tcW w:w="1650" w:type="dxa"/>
            <w:noWrap/>
            <w:vAlign w:val="center"/>
          </w:tcPr>
          <w:p>
            <w:pPr>
              <w:jc w:val="center"/>
              <w:rPr>
                <w:snapToGrid w:val="0"/>
                <w:color w:val="auto"/>
                <w:kern w:val="21"/>
                <w:szCs w:val="21"/>
              </w:rPr>
            </w:pPr>
            <w:r>
              <w:rPr>
                <w:snapToGrid w:val="0"/>
                <w:color w:val="auto"/>
                <w:kern w:val="21"/>
                <w:szCs w:val="21"/>
              </w:rPr>
              <w:t>0</w:t>
            </w:r>
          </w:p>
        </w:tc>
        <w:tc>
          <w:tcPr>
            <w:tcW w:w="1575" w:type="dxa"/>
            <w:noWrap/>
            <w:vAlign w:val="center"/>
          </w:tcPr>
          <w:p>
            <w:pPr>
              <w:jc w:val="center"/>
              <w:rPr>
                <w:snapToGrid w:val="0"/>
                <w:color w:val="auto"/>
                <w:kern w:val="21"/>
                <w:szCs w:val="21"/>
              </w:rPr>
            </w:pPr>
            <w:r>
              <w:rPr>
                <w:snapToGrid w:val="0"/>
                <w:color w:val="auto"/>
                <w:kern w:val="21"/>
                <w:szCs w:val="21"/>
              </w:rPr>
              <w:t>0</w:t>
            </w:r>
          </w:p>
        </w:tc>
        <w:tc>
          <w:tcPr>
            <w:tcW w:w="1515" w:type="dxa"/>
            <w:noWrap/>
            <w:vAlign w:val="center"/>
          </w:tcPr>
          <w:p>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755" w:type="dxa"/>
            <w:noWrap/>
            <w:vAlign w:val="center"/>
          </w:tcPr>
          <w:p>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54" w:type="dxa"/>
            <w:noWrap/>
            <w:vAlign w:val="center"/>
          </w:tcPr>
          <w:p>
            <w:pPr>
              <w:jc w:val="center"/>
              <w:rPr>
                <w:snapToGrid w:val="0"/>
                <w:color w:val="auto"/>
                <w:kern w:val="21"/>
                <w:szCs w:val="21"/>
              </w:rPr>
            </w:pPr>
            <w:r>
              <w:rPr>
                <w:rFonts w:hint="eastAsia"/>
                <w:snapToGrid w:val="0"/>
                <w:color w:val="auto"/>
                <w:kern w:val="21"/>
                <w:szCs w:val="21"/>
              </w:rPr>
              <w:t>0.1</w:t>
            </w:r>
          </w:p>
        </w:tc>
        <w:tc>
          <w:tcPr>
            <w:tcW w:w="1028" w:type="dxa"/>
            <w:noWrap/>
            <w:vAlign w:val="center"/>
          </w:tcPr>
          <w:p>
            <w:pPr>
              <w:jc w:val="center"/>
              <w:rPr>
                <w:snapToGrid w:val="0"/>
                <w:color w:val="auto"/>
                <w:kern w:val="21"/>
                <w:szCs w:val="21"/>
              </w:rPr>
            </w:pPr>
            <w:r>
              <w:rPr>
                <w:snapToGrid w:val="0"/>
                <w:color w:val="auto"/>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588" w:type="dxa"/>
            <w:vMerge w:val="continue"/>
            <w:noWrap/>
            <w:vAlign w:val="center"/>
          </w:tcPr>
          <w:p>
            <w:pPr>
              <w:pStyle w:val="37"/>
              <w:spacing w:beforeLines="0" w:afterLines="0" w:line="240" w:lineRule="auto"/>
              <w:rPr>
                <w:rFonts w:ascii="Times New Roman"/>
                <w:snapToGrid w:val="0"/>
                <w:color w:val="auto"/>
                <w:kern w:val="21"/>
                <w:szCs w:val="21"/>
              </w:rPr>
            </w:pPr>
          </w:p>
        </w:tc>
        <w:tc>
          <w:tcPr>
            <w:tcW w:w="1417" w:type="dxa"/>
            <w:noWrap/>
            <w:vAlign w:val="center"/>
          </w:tcPr>
          <w:p>
            <w:pPr>
              <w:autoSpaceDE w:val="0"/>
              <w:autoSpaceDN w:val="0"/>
              <w:snapToGrid w:val="0"/>
              <w:jc w:val="center"/>
              <w:rPr>
                <w:color w:val="auto"/>
                <w:szCs w:val="21"/>
              </w:rPr>
            </w:pPr>
            <w:r>
              <w:rPr>
                <w:rFonts w:hint="eastAsia"/>
                <w:color w:val="auto"/>
                <w:szCs w:val="21"/>
              </w:rPr>
              <w:t>废抹布</w:t>
            </w:r>
          </w:p>
        </w:tc>
        <w:tc>
          <w:tcPr>
            <w:tcW w:w="1808" w:type="dxa"/>
            <w:noWrap/>
            <w:vAlign w:val="center"/>
          </w:tcPr>
          <w:p>
            <w:pPr>
              <w:jc w:val="center"/>
              <w:rPr>
                <w:snapToGrid w:val="0"/>
                <w:color w:val="auto"/>
                <w:kern w:val="21"/>
                <w:szCs w:val="21"/>
              </w:rPr>
            </w:pPr>
            <w:r>
              <w:rPr>
                <w:rFonts w:hint="eastAsia"/>
                <w:snapToGrid w:val="0"/>
                <w:color w:val="auto"/>
                <w:kern w:val="21"/>
                <w:szCs w:val="21"/>
              </w:rPr>
              <w:t>0.1</w:t>
            </w:r>
          </w:p>
        </w:tc>
        <w:tc>
          <w:tcPr>
            <w:tcW w:w="1650" w:type="dxa"/>
            <w:noWrap/>
            <w:vAlign w:val="center"/>
          </w:tcPr>
          <w:p>
            <w:pPr>
              <w:jc w:val="center"/>
              <w:rPr>
                <w:snapToGrid w:val="0"/>
                <w:color w:val="auto"/>
                <w:kern w:val="21"/>
                <w:szCs w:val="21"/>
              </w:rPr>
            </w:pPr>
            <w:r>
              <w:rPr>
                <w:rFonts w:hint="eastAsia"/>
                <w:snapToGrid w:val="0"/>
                <w:color w:val="auto"/>
                <w:kern w:val="21"/>
                <w:szCs w:val="21"/>
              </w:rPr>
              <w:t>0</w:t>
            </w:r>
          </w:p>
        </w:tc>
        <w:tc>
          <w:tcPr>
            <w:tcW w:w="1575" w:type="dxa"/>
            <w:noWrap/>
            <w:vAlign w:val="center"/>
          </w:tcPr>
          <w:p>
            <w:pPr>
              <w:jc w:val="center"/>
              <w:rPr>
                <w:snapToGrid w:val="0"/>
                <w:color w:val="auto"/>
                <w:kern w:val="21"/>
                <w:szCs w:val="21"/>
              </w:rPr>
            </w:pPr>
            <w:r>
              <w:rPr>
                <w:rFonts w:hint="eastAsia"/>
                <w:snapToGrid w:val="0"/>
                <w:color w:val="auto"/>
                <w:kern w:val="21"/>
                <w:szCs w:val="21"/>
              </w:rPr>
              <w:t>0</w:t>
            </w:r>
          </w:p>
        </w:tc>
        <w:tc>
          <w:tcPr>
            <w:tcW w:w="1515" w:type="dxa"/>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1755" w:type="dxa"/>
            <w:noWrap/>
            <w:vAlign w:val="center"/>
          </w:tcPr>
          <w:p>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1654" w:type="dxa"/>
            <w:noWrap/>
            <w:vAlign w:val="center"/>
          </w:tcPr>
          <w:p>
            <w:pPr>
              <w:jc w:val="center"/>
              <w:rPr>
                <w:snapToGrid w:val="0"/>
                <w:color w:val="auto"/>
                <w:kern w:val="21"/>
                <w:szCs w:val="21"/>
              </w:rPr>
            </w:pPr>
            <w:r>
              <w:rPr>
                <w:rFonts w:hint="eastAsia"/>
                <w:snapToGrid w:val="0"/>
                <w:color w:val="auto"/>
                <w:kern w:val="21"/>
                <w:szCs w:val="21"/>
              </w:rPr>
              <w:t>0.1</w:t>
            </w:r>
          </w:p>
        </w:tc>
        <w:tc>
          <w:tcPr>
            <w:tcW w:w="1028" w:type="dxa"/>
            <w:noWrap/>
            <w:vAlign w:val="center"/>
          </w:tcPr>
          <w:p>
            <w:pPr>
              <w:jc w:val="center"/>
              <w:rPr>
                <w:snapToGrid w:val="0"/>
                <w:color w:val="auto"/>
                <w:kern w:val="21"/>
                <w:szCs w:val="21"/>
              </w:rPr>
            </w:pPr>
            <w:r>
              <w:rPr>
                <w:snapToGrid w:val="0"/>
                <w:color w:val="auto"/>
                <w:kern w:val="21"/>
                <w:szCs w:val="21"/>
              </w:rPr>
              <w:t>0</w:t>
            </w:r>
          </w:p>
        </w:tc>
      </w:tr>
    </w:tbl>
    <w:p>
      <w:pPr>
        <w:pStyle w:val="37"/>
        <w:spacing w:beforeLines="80" w:after="24"/>
        <w:jc w:val="left"/>
        <w:rPr>
          <w:rFonts w:ascii="Times New Roman"/>
          <w:color w:val="auto"/>
        </w:rPr>
      </w:pPr>
      <w:r>
        <w:rPr>
          <w:rFonts w:ascii="Times New Roman"/>
          <w:snapToGrid w:val="0"/>
          <w:color w:val="auto"/>
          <w:kern w:val="21"/>
          <w:szCs w:val="21"/>
        </w:rPr>
        <w:t>注：</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color w:val="auto"/>
          <w:szCs w:val="21"/>
        </w:rPr>
        <w:t>①</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ascii="Times New Roman"/>
          <w:color w:val="auto"/>
          <w:szCs w:val="21"/>
        </w:rPr>
        <w:t>③</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ascii="Times New Roman"/>
          <w:color w:val="auto"/>
          <w:szCs w:val="21"/>
        </w:rPr>
        <w:t>④</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ascii="Times New Roman"/>
          <w:color w:val="auto"/>
          <w:szCs w:val="21"/>
        </w:rPr>
        <w:t>⑤</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ascii="Times New Roman"/>
          <w:color w:val="auto"/>
          <w:szCs w:val="21"/>
        </w:rPr>
        <w:t>⑦</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color w:val="auto"/>
          <w:szCs w:val="21"/>
        </w:rPr>
        <w:t>①</w:t>
      </w:r>
      <w:r>
        <w:rPr>
          <w:rFonts w:ascii="Times New Roman"/>
          <w:snapToGrid w:val="0"/>
          <w:color w:val="auto"/>
          <w:spacing w:val="-6"/>
          <w:kern w:val="21"/>
          <w:szCs w:val="21"/>
        </w:rPr>
        <w:fldChar w:fldCharType="end"/>
      </w:r>
    </w:p>
    <w:sectPr>
      <w:footerReference r:id="rId6"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FZKai-Z03">
    <w:altName w:val="Segoe Print"/>
    <w:panose1 w:val="00000000000000000000"/>
    <w:charset w:val="00"/>
    <w:family w:val="auto"/>
    <w:pitch w:val="default"/>
    <w:sig w:usb0="00000000" w:usb1="00000000" w:usb2="00000000" w:usb3="00000000" w:csb0="00000000" w:csb1="00000000"/>
  </w:font>
  <w:font w:name="Gautami">
    <w:panose1 w:val="020B0502040204020203"/>
    <w:charset w:val="00"/>
    <w:family w:val="swiss"/>
    <w:pitch w:val="default"/>
    <w:sig w:usb0="00200003"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69GPs5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99ejd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L69GPs5AgAAcQQAAA4AAAAAAAAAAQAgAAAAHwEAAGRycy9lMm9Eb2Mu&#10;eG1sUEsFBgAAAAAGAAYAWQEAAMo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1rxzQ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0NG6+lB1&#10;DzCHloWdfrA8polSebs+BkibFI8CdaqgU/GASUw967cmjvqf5xT1+E+x+g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3WvHNDgCAABxBAAADgAAAAAAAAABACAAAAAfAQAAZHJzL2Uyb0RvYy54&#10;bWxQSwUGAAAAAAYABgBZAQAAyQ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74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17526"/>
    <w:multiLevelType w:val="singleLevel"/>
    <w:tmpl w:val="92D17526"/>
    <w:lvl w:ilvl="0" w:tentative="0">
      <w:start w:val="3"/>
      <w:numFmt w:val="decimal"/>
      <w:suff w:val="nothing"/>
      <w:lvlText w:val="%1）"/>
      <w:lvlJc w:val="left"/>
    </w:lvl>
  </w:abstractNum>
  <w:abstractNum w:abstractNumId="1">
    <w:nsid w:val="96612B3F"/>
    <w:multiLevelType w:val="singleLevel"/>
    <w:tmpl w:val="96612B3F"/>
    <w:lvl w:ilvl="0" w:tentative="0">
      <w:start w:val="3"/>
      <w:numFmt w:val="decimal"/>
      <w:suff w:val="nothing"/>
      <w:lvlText w:val="（%1）"/>
      <w:lvlJc w:val="left"/>
    </w:lvl>
  </w:abstractNum>
  <w:abstractNum w:abstractNumId="2">
    <w:nsid w:val="B9626C66"/>
    <w:multiLevelType w:val="singleLevel"/>
    <w:tmpl w:val="B9626C66"/>
    <w:lvl w:ilvl="0" w:tentative="0">
      <w:start w:val="1"/>
      <w:numFmt w:val="decimal"/>
      <w:suff w:val="nothing"/>
      <w:lvlText w:val="%1、"/>
      <w:lvlJc w:val="left"/>
      <w:rPr>
        <w:rFonts w:hint="default"/>
        <w:b/>
        <w:bCs/>
      </w:rPr>
    </w:lvl>
  </w:abstractNum>
  <w:abstractNum w:abstractNumId="3">
    <w:nsid w:val="CA36AABE"/>
    <w:multiLevelType w:val="singleLevel"/>
    <w:tmpl w:val="CA36AABE"/>
    <w:lvl w:ilvl="0" w:tentative="0">
      <w:start w:val="1"/>
      <w:numFmt w:val="chineseCounting"/>
      <w:suff w:val="nothing"/>
      <w:lvlText w:val="%1、"/>
      <w:lvlJc w:val="left"/>
      <w:rPr>
        <w:rFonts w:hint="eastAsia"/>
      </w:rPr>
    </w:lvl>
  </w:abstractNum>
  <w:abstractNum w:abstractNumId="4">
    <w:nsid w:val="CD2FFF99"/>
    <w:multiLevelType w:val="singleLevel"/>
    <w:tmpl w:val="CD2FFF99"/>
    <w:lvl w:ilvl="0" w:tentative="0">
      <w:start w:val="7"/>
      <w:numFmt w:val="decimal"/>
      <w:suff w:val="nothing"/>
      <w:lvlText w:val="%1、"/>
      <w:lvlJc w:val="left"/>
      <w:pPr>
        <w:ind w:left="0"/>
      </w:pPr>
    </w:lvl>
  </w:abstractNum>
  <w:abstractNum w:abstractNumId="5">
    <w:nsid w:val="D8FFC09E"/>
    <w:multiLevelType w:val="singleLevel"/>
    <w:tmpl w:val="D8FFC09E"/>
    <w:lvl w:ilvl="0" w:tentative="0">
      <w:start w:val="1"/>
      <w:numFmt w:val="decimal"/>
      <w:suff w:val="nothing"/>
      <w:lvlText w:val="%1）"/>
      <w:lvlJc w:val="left"/>
    </w:lvl>
  </w:abstractNum>
  <w:abstractNum w:abstractNumId="6">
    <w:nsid w:val="36375258"/>
    <w:multiLevelType w:val="singleLevel"/>
    <w:tmpl w:val="36375258"/>
    <w:lvl w:ilvl="0" w:tentative="0">
      <w:start w:val="1"/>
      <w:numFmt w:val="chineseCounting"/>
      <w:suff w:val="nothing"/>
      <w:lvlText w:val="%1、"/>
      <w:lvlJc w:val="left"/>
      <w:rPr>
        <w:rFonts w:hint="eastAsia"/>
      </w:rPr>
    </w:lvl>
  </w:abstractNum>
  <w:abstractNum w:abstractNumId="7">
    <w:nsid w:val="7CA836E5"/>
    <w:multiLevelType w:val="singleLevel"/>
    <w:tmpl w:val="7CA836E5"/>
    <w:lvl w:ilvl="0" w:tentative="0">
      <w:start w:val="10"/>
      <w:numFmt w:val="decimal"/>
      <w:suff w:val="nothing"/>
      <w:lvlText w:val="%1、"/>
      <w:lvlJc w:val="left"/>
    </w:lvl>
  </w:abstractNum>
  <w:abstractNum w:abstractNumId="8">
    <w:nsid w:val="7D822C49"/>
    <w:multiLevelType w:val="singleLevel"/>
    <w:tmpl w:val="7D822C49"/>
    <w:lvl w:ilvl="0" w:tentative="0">
      <w:start w:val="8"/>
      <w:numFmt w:val="decimal"/>
      <w:suff w:val="nothing"/>
      <w:lvlText w:val="%1、"/>
      <w:lvlJc w:val="left"/>
    </w:lvl>
  </w:abstractNum>
  <w:num w:numId="1">
    <w:abstractNumId w:val="0"/>
  </w:num>
  <w:num w:numId="2">
    <w:abstractNumId w:val="5"/>
  </w:num>
  <w:num w:numId="3">
    <w:abstractNumId w:val="7"/>
  </w:num>
  <w:num w:numId="4">
    <w:abstractNumId w:val="2"/>
  </w:num>
  <w:num w:numId="5">
    <w:abstractNumId w:val="8"/>
  </w:num>
  <w:num w:numId="6">
    <w:abstractNumId w:val="1"/>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xZDg1ZjUzMzgzNmM0OGVmODUzZjhlZGU3YzI3ZmYifQ=="/>
  </w:docVars>
  <w:rsids>
    <w:rsidRoot w:val="00A1494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35183"/>
    <w:rsid w:val="00452738"/>
    <w:rsid w:val="00456091"/>
    <w:rsid w:val="00466321"/>
    <w:rsid w:val="00484B9B"/>
    <w:rsid w:val="004855F6"/>
    <w:rsid w:val="0048661E"/>
    <w:rsid w:val="00494670"/>
    <w:rsid w:val="004A3823"/>
    <w:rsid w:val="004E6946"/>
    <w:rsid w:val="004F1AD8"/>
    <w:rsid w:val="005039CB"/>
    <w:rsid w:val="0050558F"/>
    <w:rsid w:val="00506286"/>
    <w:rsid w:val="00510813"/>
    <w:rsid w:val="00510B7C"/>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42C18"/>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17CB4"/>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B0E5E"/>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E351F"/>
    <w:rsid w:val="00DF2293"/>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C5642"/>
    <w:rsid w:val="00FD0236"/>
    <w:rsid w:val="00FD18F4"/>
    <w:rsid w:val="00FD54DB"/>
    <w:rsid w:val="00FD619F"/>
    <w:rsid w:val="00FE0FEC"/>
    <w:rsid w:val="00FE3962"/>
    <w:rsid w:val="01023B01"/>
    <w:rsid w:val="010E1A10"/>
    <w:rsid w:val="01290F7E"/>
    <w:rsid w:val="0135519D"/>
    <w:rsid w:val="015D1E09"/>
    <w:rsid w:val="017058E5"/>
    <w:rsid w:val="01917800"/>
    <w:rsid w:val="01AC6ABC"/>
    <w:rsid w:val="01B666C0"/>
    <w:rsid w:val="02697903"/>
    <w:rsid w:val="02725B3B"/>
    <w:rsid w:val="02F96569"/>
    <w:rsid w:val="031031B6"/>
    <w:rsid w:val="032856F9"/>
    <w:rsid w:val="0374413D"/>
    <w:rsid w:val="03975D46"/>
    <w:rsid w:val="03EA7B21"/>
    <w:rsid w:val="03EF1534"/>
    <w:rsid w:val="03EF1A15"/>
    <w:rsid w:val="04BC101E"/>
    <w:rsid w:val="051507C0"/>
    <w:rsid w:val="05707DEF"/>
    <w:rsid w:val="05963711"/>
    <w:rsid w:val="05F83EAE"/>
    <w:rsid w:val="061D57D6"/>
    <w:rsid w:val="063E7D85"/>
    <w:rsid w:val="067251F6"/>
    <w:rsid w:val="069957A3"/>
    <w:rsid w:val="06BF1B73"/>
    <w:rsid w:val="06F82A11"/>
    <w:rsid w:val="07293586"/>
    <w:rsid w:val="07295285"/>
    <w:rsid w:val="0745165D"/>
    <w:rsid w:val="07636392"/>
    <w:rsid w:val="07770C56"/>
    <w:rsid w:val="07B8738B"/>
    <w:rsid w:val="087C1540"/>
    <w:rsid w:val="08870553"/>
    <w:rsid w:val="08D9370C"/>
    <w:rsid w:val="08F408E3"/>
    <w:rsid w:val="09047663"/>
    <w:rsid w:val="092217DD"/>
    <w:rsid w:val="093A7294"/>
    <w:rsid w:val="09782BF0"/>
    <w:rsid w:val="09BD1B58"/>
    <w:rsid w:val="0A263993"/>
    <w:rsid w:val="0A2D3AC2"/>
    <w:rsid w:val="0A6971D0"/>
    <w:rsid w:val="0AA52BF1"/>
    <w:rsid w:val="0AA755DF"/>
    <w:rsid w:val="0ADF49DB"/>
    <w:rsid w:val="0AE4194D"/>
    <w:rsid w:val="0B120D44"/>
    <w:rsid w:val="0B4D65A6"/>
    <w:rsid w:val="0B6574F2"/>
    <w:rsid w:val="0B7873D8"/>
    <w:rsid w:val="0BCA3494"/>
    <w:rsid w:val="0BD27BF6"/>
    <w:rsid w:val="0BED7182"/>
    <w:rsid w:val="0C161165"/>
    <w:rsid w:val="0C3B3C7D"/>
    <w:rsid w:val="0C6D6E8E"/>
    <w:rsid w:val="0CAB2EAE"/>
    <w:rsid w:val="0CC1672A"/>
    <w:rsid w:val="0CCC5219"/>
    <w:rsid w:val="0D1C2824"/>
    <w:rsid w:val="0D621C7D"/>
    <w:rsid w:val="0D6C12FA"/>
    <w:rsid w:val="0DC108EF"/>
    <w:rsid w:val="0E263612"/>
    <w:rsid w:val="0E406A59"/>
    <w:rsid w:val="0E73034D"/>
    <w:rsid w:val="0F13775A"/>
    <w:rsid w:val="0F4A0448"/>
    <w:rsid w:val="0F5F45FE"/>
    <w:rsid w:val="0F615EBD"/>
    <w:rsid w:val="0F694D72"/>
    <w:rsid w:val="0F8850E6"/>
    <w:rsid w:val="0F9A112B"/>
    <w:rsid w:val="0FF537BA"/>
    <w:rsid w:val="101636B4"/>
    <w:rsid w:val="1030780F"/>
    <w:rsid w:val="106D2F64"/>
    <w:rsid w:val="10AE5AD3"/>
    <w:rsid w:val="10B63710"/>
    <w:rsid w:val="10D34EC4"/>
    <w:rsid w:val="10F10820"/>
    <w:rsid w:val="111C2F7A"/>
    <w:rsid w:val="11292779"/>
    <w:rsid w:val="11665CA1"/>
    <w:rsid w:val="11730A05"/>
    <w:rsid w:val="119E162A"/>
    <w:rsid w:val="11C16205"/>
    <w:rsid w:val="1214484E"/>
    <w:rsid w:val="122F0C80"/>
    <w:rsid w:val="12512C72"/>
    <w:rsid w:val="125C48BF"/>
    <w:rsid w:val="126A6926"/>
    <w:rsid w:val="12DB42D6"/>
    <w:rsid w:val="13076D7C"/>
    <w:rsid w:val="13113756"/>
    <w:rsid w:val="134603D7"/>
    <w:rsid w:val="13597824"/>
    <w:rsid w:val="13693628"/>
    <w:rsid w:val="13951726"/>
    <w:rsid w:val="139D5A8E"/>
    <w:rsid w:val="13BE1790"/>
    <w:rsid w:val="13BF4C46"/>
    <w:rsid w:val="13C62B59"/>
    <w:rsid w:val="13FF5CA5"/>
    <w:rsid w:val="14396509"/>
    <w:rsid w:val="14472B21"/>
    <w:rsid w:val="1472072E"/>
    <w:rsid w:val="147A24B0"/>
    <w:rsid w:val="14900FF3"/>
    <w:rsid w:val="14DD2C3C"/>
    <w:rsid w:val="14E86739"/>
    <w:rsid w:val="15236075"/>
    <w:rsid w:val="15280D40"/>
    <w:rsid w:val="15290351"/>
    <w:rsid w:val="154D4A47"/>
    <w:rsid w:val="156A496D"/>
    <w:rsid w:val="159F4EAA"/>
    <w:rsid w:val="15E255B7"/>
    <w:rsid w:val="16087E1D"/>
    <w:rsid w:val="165247B2"/>
    <w:rsid w:val="16604519"/>
    <w:rsid w:val="1667020B"/>
    <w:rsid w:val="168B02D7"/>
    <w:rsid w:val="16AD3C15"/>
    <w:rsid w:val="16BA340E"/>
    <w:rsid w:val="16D838A5"/>
    <w:rsid w:val="16F96B11"/>
    <w:rsid w:val="172C2295"/>
    <w:rsid w:val="176D603D"/>
    <w:rsid w:val="17701D14"/>
    <w:rsid w:val="17713ACE"/>
    <w:rsid w:val="17735226"/>
    <w:rsid w:val="17A46EB9"/>
    <w:rsid w:val="17C44038"/>
    <w:rsid w:val="17D0399D"/>
    <w:rsid w:val="17DF30F3"/>
    <w:rsid w:val="17F4770A"/>
    <w:rsid w:val="18027FAD"/>
    <w:rsid w:val="189F624C"/>
    <w:rsid w:val="18A445D7"/>
    <w:rsid w:val="18BB6D64"/>
    <w:rsid w:val="193B70BD"/>
    <w:rsid w:val="1951471B"/>
    <w:rsid w:val="19675002"/>
    <w:rsid w:val="19924EC5"/>
    <w:rsid w:val="19E17FAF"/>
    <w:rsid w:val="19F77847"/>
    <w:rsid w:val="1A1C66C0"/>
    <w:rsid w:val="1A4148D2"/>
    <w:rsid w:val="1A42393B"/>
    <w:rsid w:val="1A652BDC"/>
    <w:rsid w:val="1AA02D99"/>
    <w:rsid w:val="1AAD45DE"/>
    <w:rsid w:val="1B046F80"/>
    <w:rsid w:val="1B1D3D62"/>
    <w:rsid w:val="1B2A4967"/>
    <w:rsid w:val="1B3267B5"/>
    <w:rsid w:val="1B40161D"/>
    <w:rsid w:val="1B441859"/>
    <w:rsid w:val="1B5A57E6"/>
    <w:rsid w:val="1B6606B1"/>
    <w:rsid w:val="1BB95D4E"/>
    <w:rsid w:val="1BD54C3E"/>
    <w:rsid w:val="1C4C6C4F"/>
    <w:rsid w:val="1C5C2C5D"/>
    <w:rsid w:val="1C5E7925"/>
    <w:rsid w:val="1C614721"/>
    <w:rsid w:val="1C6871C6"/>
    <w:rsid w:val="1C753084"/>
    <w:rsid w:val="1CF549F7"/>
    <w:rsid w:val="1CFD070F"/>
    <w:rsid w:val="1D0B0011"/>
    <w:rsid w:val="1D201758"/>
    <w:rsid w:val="1D293F41"/>
    <w:rsid w:val="1D4500B7"/>
    <w:rsid w:val="1D4665D2"/>
    <w:rsid w:val="1D5F6196"/>
    <w:rsid w:val="1D6132A5"/>
    <w:rsid w:val="1D7622A7"/>
    <w:rsid w:val="1D8E56D5"/>
    <w:rsid w:val="1E2926F4"/>
    <w:rsid w:val="1E7A43DA"/>
    <w:rsid w:val="1EC931F1"/>
    <w:rsid w:val="1EF705C0"/>
    <w:rsid w:val="1F040D28"/>
    <w:rsid w:val="1F376E38"/>
    <w:rsid w:val="1F460C3A"/>
    <w:rsid w:val="1F523780"/>
    <w:rsid w:val="1F603872"/>
    <w:rsid w:val="1FD31B28"/>
    <w:rsid w:val="1FD543E7"/>
    <w:rsid w:val="1FDE7676"/>
    <w:rsid w:val="1FE7539E"/>
    <w:rsid w:val="206122A7"/>
    <w:rsid w:val="20671BE0"/>
    <w:rsid w:val="20801567"/>
    <w:rsid w:val="20963CB8"/>
    <w:rsid w:val="20A81A1B"/>
    <w:rsid w:val="20B07FB6"/>
    <w:rsid w:val="20B646FB"/>
    <w:rsid w:val="20C40286"/>
    <w:rsid w:val="20E604A7"/>
    <w:rsid w:val="20E82718"/>
    <w:rsid w:val="21170D09"/>
    <w:rsid w:val="211B2E83"/>
    <w:rsid w:val="21304DA3"/>
    <w:rsid w:val="213B74B1"/>
    <w:rsid w:val="215A2310"/>
    <w:rsid w:val="21A51465"/>
    <w:rsid w:val="21C3386B"/>
    <w:rsid w:val="21C71DAB"/>
    <w:rsid w:val="21DE318A"/>
    <w:rsid w:val="21EF5B80"/>
    <w:rsid w:val="22576990"/>
    <w:rsid w:val="225B26B0"/>
    <w:rsid w:val="22E64287"/>
    <w:rsid w:val="22F47480"/>
    <w:rsid w:val="23336E4C"/>
    <w:rsid w:val="2379182E"/>
    <w:rsid w:val="23916D3D"/>
    <w:rsid w:val="23DE1C48"/>
    <w:rsid w:val="23E44A35"/>
    <w:rsid w:val="240210CD"/>
    <w:rsid w:val="244B3D26"/>
    <w:rsid w:val="246452AE"/>
    <w:rsid w:val="246F256D"/>
    <w:rsid w:val="24736807"/>
    <w:rsid w:val="24A608D5"/>
    <w:rsid w:val="24BF09F7"/>
    <w:rsid w:val="24C13610"/>
    <w:rsid w:val="252D53FE"/>
    <w:rsid w:val="25453C6A"/>
    <w:rsid w:val="257A162F"/>
    <w:rsid w:val="25C531FF"/>
    <w:rsid w:val="25EC2D81"/>
    <w:rsid w:val="25FA451E"/>
    <w:rsid w:val="26370F60"/>
    <w:rsid w:val="267120DF"/>
    <w:rsid w:val="267A3CA7"/>
    <w:rsid w:val="2680692E"/>
    <w:rsid w:val="26962EEE"/>
    <w:rsid w:val="26A51BE7"/>
    <w:rsid w:val="26A631B3"/>
    <w:rsid w:val="26D44D6F"/>
    <w:rsid w:val="27145EDB"/>
    <w:rsid w:val="273852FE"/>
    <w:rsid w:val="276E50BC"/>
    <w:rsid w:val="277057A2"/>
    <w:rsid w:val="27833317"/>
    <w:rsid w:val="27EF1B87"/>
    <w:rsid w:val="27FB20C2"/>
    <w:rsid w:val="28481375"/>
    <w:rsid w:val="28BE5104"/>
    <w:rsid w:val="28D06297"/>
    <w:rsid w:val="28F06418"/>
    <w:rsid w:val="2903193C"/>
    <w:rsid w:val="29112A4E"/>
    <w:rsid w:val="29206EB8"/>
    <w:rsid w:val="29595666"/>
    <w:rsid w:val="296B659A"/>
    <w:rsid w:val="29874881"/>
    <w:rsid w:val="29E325E0"/>
    <w:rsid w:val="2A1F4553"/>
    <w:rsid w:val="2A452503"/>
    <w:rsid w:val="2A600D8C"/>
    <w:rsid w:val="2ABC0B52"/>
    <w:rsid w:val="2B146082"/>
    <w:rsid w:val="2B2A31B0"/>
    <w:rsid w:val="2BA936A8"/>
    <w:rsid w:val="2C315A5A"/>
    <w:rsid w:val="2C4B1C25"/>
    <w:rsid w:val="2C675C97"/>
    <w:rsid w:val="2C6769FF"/>
    <w:rsid w:val="2C730BC0"/>
    <w:rsid w:val="2D092413"/>
    <w:rsid w:val="2D0E27EF"/>
    <w:rsid w:val="2D1E718F"/>
    <w:rsid w:val="2D9E56F5"/>
    <w:rsid w:val="2DDC1FE1"/>
    <w:rsid w:val="2DF64AD7"/>
    <w:rsid w:val="2E110A3F"/>
    <w:rsid w:val="2E234255"/>
    <w:rsid w:val="2E352597"/>
    <w:rsid w:val="2E667F96"/>
    <w:rsid w:val="2E6C5630"/>
    <w:rsid w:val="2E8226AB"/>
    <w:rsid w:val="2E824434"/>
    <w:rsid w:val="2EB953C6"/>
    <w:rsid w:val="2EEE2746"/>
    <w:rsid w:val="2EF27F11"/>
    <w:rsid w:val="2EF625E0"/>
    <w:rsid w:val="2F1C72B3"/>
    <w:rsid w:val="2F240818"/>
    <w:rsid w:val="2F421CF5"/>
    <w:rsid w:val="2F5A2456"/>
    <w:rsid w:val="2F6103C1"/>
    <w:rsid w:val="2F900BDA"/>
    <w:rsid w:val="2FD065E6"/>
    <w:rsid w:val="2FD96870"/>
    <w:rsid w:val="300953C7"/>
    <w:rsid w:val="300C0D58"/>
    <w:rsid w:val="30580BC9"/>
    <w:rsid w:val="305D511D"/>
    <w:rsid w:val="30764BE7"/>
    <w:rsid w:val="30956D5E"/>
    <w:rsid w:val="30A27150"/>
    <w:rsid w:val="30BC75CC"/>
    <w:rsid w:val="30C776F3"/>
    <w:rsid w:val="311B6966"/>
    <w:rsid w:val="311E2ED7"/>
    <w:rsid w:val="312C1111"/>
    <w:rsid w:val="31381BD0"/>
    <w:rsid w:val="313D0B9A"/>
    <w:rsid w:val="315619EE"/>
    <w:rsid w:val="315C449C"/>
    <w:rsid w:val="31AC6D6B"/>
    <w:rsid w:val="31B65456"/>
    <w:rsid w:val="31B82709"/>
    <w:rsid w:val="31D05482"/>
    <w:rsid w:val="320152CF"/>
    <w:rsid w:val="32302589"/>
    <w:rsid w:val="32400B34"/>
    <w:rsid w:val="326063F8"/>
    <w:rsid w:val="327B580A"/>
    <w:rsid w:val="329334B2"/>
    <w:rsid w:val="329E6876"/>
    <w:rsid w:val="32CC1AB2"/>
    <w:rsid w:val="333015F2"/>
    <w:rsid w:val="334B6320"/>
    <w:rsid w:val="336639DC"/>
    <w:rsid w:val="33CC215A"/>
    <w:rsid w:val="33D934D4"/>
    <w:rsid w:val="33DB5BCA"/>
    <w:rsid w:val="33FA4B6F"/>
    <w:rsid w:val="33FE2F6A"/>
    <w:rsid w:val="340E07E5"/>
    <w:rsid w:val="34235BF7"/>
    <w:rsid w:val="344C0045"/>
    <w:rsid w:val="3462564A"/>
    <w:rsid w:val="34C35DC2"/>
    <w:rsid w:val="34E8485A"/>
    <w:rsid w:val="34F22226"/>
    <w:rsid w:val="35206F38"/>
    <w:rsid w:val="352C5A7D"/>
    <w:rsid w:val="35505C50"/>
    <w:rsid w:val="358C5FA8"/>
    <w:rsid w:val="35C15DF1"/>
    <w:rsid w:val="35E21570"/>
    <w:rsid w:val="36006F82"/>
    <w:rsid w:val="36074A7F"/>
    <w:rsid w:val="36302CF0"/>
    <w:rsid w:val="36420412"/>
    <w:rsid w:val="36525567"/>
    <w:rsid w:val="365E6403"/>
    <w:rsid w:val="36923549"/>
    <w:rsid w:val="36B75FBF"/>
    <w:rsid w:val="36BD0C45"/>
    <w:rsid w:val="36E46FED"/>
    <w:rsid w:val="36F6221C"/>
    <w:rsid w:val="36FE58D9"/>
    <w:rsid w:val="372618E3"/>
    <w:rsid w:val="375A1E7C"/>
    <w:rsid w:val="37AB1B1C"/>
    <w:rsid w:val="37B16C04"/>
    <w:rsid w:val="37E00298"/>
    <w:rsid w:val="381363AD"/>
    <w:rsid w:val="383C0B39"/>
    <w:rsid w:val="38477C08"/>
    <w:rsid w:val="38544A1E"/>
    <w:rsid w:val="3860410C"/>
    <w:rsid w:val="38A32C63"/>
    <w:rsid w:val="38B302F9"/>
    <w:rsid w:val="38E250CA"/>
    <w:rsid w:val="38F12CD3"/>
    <w:rsid w:val="38F94775"/>
    <w:rsid w:val="390150B3"/>
    <w:rsid w:val="391D4354"/>
    <w:rsid w:val="392971ED"/>
    <w:rsid w:val="392E0792"/>
    <w:rsid w:val="39325651"/>
    <w:rsid w:val="39330CE5"/>
    <w:rsid w:val="39615B61"/>
    <w:rsid w:val="39A3674F"/>
    <w:rsid w:val="3A033E0C"/>
    <w:rsid w:val="3A872856"/>
    <w:rsid w:val="3AA46B81"/>
    <w:rsid w:val="3B3763D1"/>
    <w:rsid w:val="3B9620CF"/>
    <w:rsid w:val="3B99732C"/>
    <w:rsid w:val="3BCA15F3"/>
    <w:rsid w:val="3C2F6E1E"/>
    <w:rsid w:val="3C4D7A1C"/>
    <w:rsid w:val="3C4F64BA"/>
    <w:rsid w:val="3C6B1423"/>
    <w:rsid w:val="3C863EA3"/>
    <w:rsid w:val="3CC95C54"/>
    <w:rsid w:val="3CCD24DE"/>
    <w:rsid w:val="3CDA245A"/>
    <w:rsid w:val="3CE43176"/>
    <w:rsid w:val="3D1E06B7"/>
    <w:rsid w:val="3D4D540B"/>
    <w:rsid w:val="3D850719"/>
    <w:rsid w:val="3E657375"/>
    <w:rsid w:val="3EA2194F"/>
    <w:rsid w:val="3EA56C67"/>
    <w:rsid w:val="3EB47508"/>
    <w:rsid w:val="3EDA0523"/>
    <w:rsid w:val="3EE528AE"/>
    <w:rsid w:val="3F8E5735"/>
    <w:rsid w:val="3FE23850"/>
    <w:rsid w:val="3FE37F41"/>
    <w:rsid w:val="3FE8685F"/>
    <w:rsid w:val="40264C64"/>
    <w:rsid w:val="40685352"/>
    <w:rsid w:val="407A6407"/>
    <w:rsid w:val="41227995"/>
    <w:rsid w:val="412C3972"/>
    <w:rsid w:val="417B5E55"/>
    <w:rsid w:val="41D57EC1"/>
    <w:rsid w:val="41D86AAF"/>
    <w:rsid w:val="41FD6DAD"/>
    <w:rsid w:val="41FE0A6D"/>
    <w:rsid w:val="4200449D"/>
    <w:rsid w:val="4226458E"/>
    <w:rsid w:val="42290BD1"/>
    <w:rsid w:val="422920AC"/>
    <w:rsid w:val="423A3BCC"/>
    <w:rsid w:val="424E57D2"/>
    <w:rsid w:val="42B26C49"/>
    <w:rsid w:val="42C76140"/>
    <w:rsid w:val="433A6FE6"/>
    <w:rsid w:val="43480868"/>
    <w:rsid w:val="4350713C"/>
    <w:rsid w:val="436653E0"/>
    <w:rsid w:val="438940CF"/>
    <w:rsid w:val="43B245BE"/>
    <w:rsid w:val="43C336CA"/>
    <w:rsid w:val="43C4431A"/>
    <w:rsid w:val="43D373AB"/>
    <w:rsid w:val="44440A41"/>
    <w:rsid w:val="448701E3"/>
    <w:rsid w:val="44B951CC"/>
    <w:rsid w:val="44CD14E0"/>
    <w:rsid w:val="44D35612"/>
    <w:rsid w:val="44F20B0B"/>
    <w:rsid w:val="45021CEB"/>
    <w:rsid w:val="452E5F4C"/>
    <w:rsid w:val="453124FF"/>
    <w:rsid w:val="45390FA1"/>
    <w:rsid w:val="453A7579"/>
    <w:rsid w:val="45612018"/>
    <w:rsid w:val="458946E9"/>
    <w:rsid w:val="45A47C0E"/>
    <w:rsid w:val="46321151"/>
    <w:rsid w:val="46490C71"/>
    <w:rsid w:val="46577FD6"/>
    <w:rsid w:val="466D2F72"/>
    <w:rsid w:val="467A244D"/>
    <w:rsid w:val="46BA197E"/>
    <w:rsid w:val="46D955A7"/>
    <w:rsid w:val="46DE67EE"/>
    <w:rsid w:val="46F36B9B"/>
    <w:rsid w:val="47133957"/>
    <w:rsid w:val="472609A4"/>
    <w:rsid w:val="47266AC9"/>
    <w:rsid w:val="47624175"/>
    <w:rsid w:val="47732524"/>
    <w:rsid w:val="4775658A"/>
    <w:rsid w:val="47A07E0C"/>
    <w:rsid w:val="4870272E"/>
    <w:rsid w:val="48E35C3E"/>
    <w:rsid w:val="48F4259B"/>
    <w:rsid w:val="48F702C0"/>
    <w:rsid w:val="49006C36"/>
    <w:rsid w:val="498327C8"/>
    <w:rsid w:val="49D32675"/>
    <w:rsid w:val="49DC7715"/>
    <w:rsid w:val="49E53D4A"/>
    <w:rsid w:val="4A023139"/>
    <w:rsid w:val="4A3A5EEA"/>
    <w:rsid w:val="4A7B576F"/>
    <w:rsid w:val="4A95247B"/>
    <w:rsid w:val="4A9E74EA"/>
    <w:rsid w:val="4AC23207"/>
    <w:rsid w:val="4AC67862"/>
    <w:rsid w:val="4AF561A9"/>
    <w:rsid w:val="4B1E56C9"/>
    <w:rsid w:val="4B320F67"/>
    <w:rsid w:val="4B5D7DA5"/>
    <w:rsid w:val="4BC148DC"/>
    <w:rsid w:val="4BC7534F"/>
    <w:rsid w:val="4BCB40E3"/>
    <w:rsid w:val="4C4A0649"/>
    <w:rsid w:val="4C4E3BB6"/>
    <w:rsid w:val="4C517672"/>
    <w:rsid w:val="4C7E5ECA"/>
    <w:rsid w:val="4C8109F1"/>
    <w:rsid w:val="4C876AA5"/>
    <w:rsid w:val="4CEF5BAF"/>
    <w:rsid w:val="4CFB27A6"/>
    <w:rsid w:val="4D0E00FB"/>
    <w:rsid w:val="4D111C3B"/>
    <w:rsid w:val="4D176606"/>
    <w:rsid w:val="4D1D0636"/>
    <w:rsid w:val="4DBC1FE9"/>
    <w:rsid w:val="4DEC4FB0"/>
    <w:rsid w:val="4E075D8A"/>
    <w:rsid w:val="4E2C5EF4"/>
    <w:rsid w:val="4E6078EB"/>
    <w:rsid w:val="4EC00FAD"/>
    <w:rsid w:val="4EE5232D"/>
    <w:rsid w:val="4EF759DD"/>
    <w:rsid w:val="4F1526EB"/>
    <w:rsid w:val="4F2314E3"/>
    <w:rsid w:val="4F763A8A"/>
    <w:rsid w:val="4F8B414F"/>
    <w:rsid w:val="4F9843DC"/>
    <w:rsid w:val="4FBA4E06"/>
    <w:rsid w:val="4FC62A8C"/>
    <w:rsid w:val="4FE20F0D"/>
    <w:rsid w:val="4FE51552"/>
    <w:rsid w:val="50504C4B"/>
    <w:rsid w:val="50720FD1"/>
    <w:rsid w:val="50812FC2"/>
    <w:rsid w:val="509C6E7C"/>
    <w:rsid w:val="50AF18DD"/>
    <w:rsid w:val="50B62B98"/>
    <w:rsid w:val="51037A5F"/>
    <w:rsid w:val="513B50D0"/>
    <w:rsid w:val="514F0A19"/>
    <w:rsid w:val="5162104E"/>
    <w:rsid w:val="517353F0"/>
    <w:rsid w:val="519076F5"/>
    <w:rsid w:val="519F783B"/>
    <w:rsid w:val="51C3253B"/>
    <w:rsid w:val="51D80FE1"/>
    <w:rsid w:val="51FC4BBC"/>
    <w:rsid w:val="52032667"/>
    <w:rsid w:val="52134223"/>
    <w:rsid w:val="521467B7"/>
    <w:rsid w:val="52452092"/>
    <w:rsid w:val="52AA2F5C"/>
    <w:rsid w:val="52E30909"/>
    <w:rsid w:val="53186DC9"/>
    <w:rsid w:val="53206AC2"/>
    <w:rsid w:val="534E2383"/>
    <w:rsid w:val="537C11BC"/>
    <w:rsid w:val="539863C2"/>
    <w:rsid w:val="53A039CC"/>
    <w:rsid w:val="53A1505A"/>
    <w:rsid w:val="53B353A1"/>
    <w:rsid w:val="53CF44C9"/>
    <w:rsid w:val="53F4516F"/>
    <w:rsid w:val="54063E08"/>
    <w:rsid w:val="5421072C"/>
    <w:rsid w:val="543437E8"/>
    <w:rsid w:val="54504D30"/>
    <w:rsid w:val="54972DB4"/>
    <w:rsid w:val="54AB0BFB"/>
    <w:rsid w:val="54ED50CA"/>
    <w:rsid w:val="54F73313"/>
    <w:rsid w:val="54F80955"/>
    <w:rsid w:val="554F3F56"/>
    <w:rsid w:val="555170A7"/>
    <w:rsid w:val="5587536D"/>
    <w:rsid w:val="55945546"/>
    <w:rsid w:val="559B174B"/>
    <w:rsid w:val="55CE0CF4"/>
    <w:rsid w:val="55DA64F3"/>
    <w:rsid w:val="56B22A9C"/>
    <w:rsid w:val="56C64CE7"/>
    <w:rsid w:val="579A2D76"/>
    <w:rsid w:val="57B72A76"/>
    <w:rsid w:val="57C3426C"/>
    <w:rsid w:val="57C73FFA"/>
    <w:rsid w:val="57CE1F93"/>
    <w:rsid w:val="57E233E1"/>
    <w:rsid w:val="57FC4738"/>
    <w:rsid w:val="582C592E"/>
    <w:rsid w:val="58501C9A"/>
    <w:rsid w:val="588743D1"/>
    <w:rsid w:val="5887701A"/>
    <w:rsid w:val="58A27F7A"/>
    <w:rsid w:val="58B30A6D"/>
    <w:rsid w:val="58CB182A"/>
    <w:rsid w:val="59142FED"/>
    <w:rsid w:val="59157FC3"/>
    <w:rsid w:val="592644B8"/>
    <w:rsid w:val="59517F98"/>
    <w:rsid w:val="59827797"/>
    <w:rsid w:val="59AA292D"/>
    <w:rsid w:val="59C0439F"/>
    <w:rsid w:val="5ABE2233"/>
    <w:rsid w:val="5AC27EF7"/>
    <w:rsid w:val="5B606C03"/>
    <w:rsid w:val="5B6117D8"/>
    <w:rsid w:val="5BD96DDC"/>
    <w:rsid w:val="5BDF5D95"/>
    <w:rsid w:val="5BFE7528"/>
    <w:rsid w:val="5C722C54"/>
    <w:rsid w:val="5CCC64FA"/>
    <w:rsid w:val="5CE0255A"/>
    <w:rsid w:val="5D3C18C6"/>
    <w:rsid w:val="5D8A09CF"/>
    <w:rsid w:val="5D982D43"/>
    <w:rsid w:val="5E0C353C"/>
    <w:rsid w:val="5E1B5298"/>
    <w:rsid w:val="5E1F3079"/>
    <w:rsid w:val="5E2467F1"/>
    <w:rsid w:val="5E391380"/>
    <w:rsid w:val="5E9F11E3"/>
    <w:rsid w:val="5F1A2B43"/>
    <w:rsid w:val="5F1D64E7"/>
    <w:rsid w:val="5F5D0E23"/>
    <w:rsid w:val="5F7F2DC3"/>
    <w:rsid w:val="5FB3469F"/>
    <w:rsid w:val="5FB837BB"/>
    <w:rsid w:val="5FD942BC"/>
    <w:rsid w:val="60713D7D"/>
    <w:rsid w:val="607A4686"/>
    <w:rsid w:val="60CC405A"/>
    <w:rsid w:val="60F61D97"/>
    <w:rsid w:val="61081895"/>
    <w:rsid w:val="610D24BC"/>
    <w:rsid w:val="612B51FC"/>
    <w:rsid w:val="61327615"/>
    <w:rsid w:val="616317A9"/>
    <w:rsid w:val="6181688F"/>
    <w:rsid w:val="61BD592E"/>
    <w:rsid w:val="61D30C8D"/>
    <w:rsid w:val="61E11D27"/>
    <w:rsid w:val="61E215D8"/>
    <w:rsid w:val="61F96E5C"/>
    <w:rsid w:val="621B3775"/>
    <w:rsid w:val="62364782"/>
    <w:rsid w:val="626B3A59"/>
    <w:rsid w:val="62E308E1"/>
    <w:rsid w:val="62E863B9"/>
    <w:rsid w:val="62F51D09"/>
    <w:rsid w:val="62F658AB"/>
    <w:rsid w:val="630C2BBF"/>
    <w:rsid w:val="638E3E99"/>
    <w:rsid w:val="6394356A"/>
    <w:rsid w:val="63C61B2C"/>
    <w:rsid w:val="63C8799A"/>
    <w:rsid w:val="63D408C9"/>
    <w:rsid w:val="63D40BE9"/>
    <w:rsid w:val="64102431"/>
    <w:rsid w:val="6410770E"/>
    <w:rsid w:val="64392DAB"/>
    <w:rsid w:val="64647DA7"/>
    <w:rsid w:val="64A36BDF"/>
    <w:rsid w:val="64A5243A"/>
    <w:rsid w:val="64B617FC"/>
    <w:rsid w:val="64CA2D32"/>
    <w:rsid w:val="64F531DE"/>
    <w:rsid w:val="6518169E"/>
    <w:rsid w:val="65322CBF"/>
    <w:rsid w:val="65373578"/>
    <w:rsid w:val="65695A9D"/>
    <w:rsid w:val="65811774"/>
    <w:rsid w:val="65976D20"/>
    <w:rsid w:val="65BF216B"/>
    <w:rsid w:val="660F30F2"/>
    <w:rsid w:val="661506DC"/>
    <w:rsid w:val="66394CEE"/>
    <w:rsid w:val="664044FB"/>
    <w:rsid w:val="66802D7D"/>
    <w:rsid w:val="66F52EF4"/>
    <w:rsid w:val="66FA0321"/>
    <w:rsid w:val="671F124A"/>
    <w:rsid w:val="677A33C6"/>
    <w:rsid w:val="67901C4F"/>
    <w:rsid w:val="67957A7B"/>
    <w:rsid w:val="67CA1FD4"/>
    <w:rsid w:val="681F6961"/>
    <w:rsid w:val="684D7F02"/>
    <w:rsid w:val="68610A2F"/>
    <w:rsid w:val="68805514"/>
    <w:rsid w:val="688570B9"/>
    <w:rsid w:val="688F64DD"/>
    <w:rsid w:val="68955405"/>
    <w:rsid w:val="68B63F23"/>
    <w:rsid w:val="68C93DA8"/>
    <w:rsid w:val="68D92077"/>
    <w:rsid w:val="690E58E3"/>
    <w:rsid w:val="69316E2F"/>
    <w:rsid w:val="694E2071"/>
    <w:rsid w:val="69593205"/>
    <w:rsid w:val="69694FCF"/>
    <w:rsid w:val="69766163"/>
    <w:rsid w:val="697A3B33"/>
    <w:rsid w:val="69A140DC"/>
    <w:rsid w:val="69B2598A"/>
    <w:rsid w:val="69D44760"/>
    <w:rsid w:val="69D77E00"/>
    <w:rsid w:val="69FF75C3"/>
    <w:rsid w:val="6A001D0C"/>
    <w:rsid w:val="6A2F7FFF"/>
    <w:rsid w:val="6A366774"/>
    <w:rsid w:val="6A486BD3"/>
    <w:rsid w:val="6A520EC7"/>
    <w:rsid w:val="6A554E4C"/>
    <w:rsid w:val="6AAB4399"/>
    <w:rsid w:val="6AD81E82"/>
    <w:rsid w:val="6AF01458"/>
    <w:rsid w:val="6AF87E20"/>
    <w:rsid w:val="6AFE3DBA"/>
    <w:rsid w:val="6B322639"/>
    <w:rsid w:val="6BA66EA8"/>
    <w:rsid w:val="6BAC1936"/>
    <w:rsid w:val="6C636C38"/>
    <w:rsid w:val="6C7932FA"/>
    <w:rsid w:val="6CBE0B49"/>
    <w:rsid w:val="6D46591F"/>
    <w:rsid w:val="6DB34098"/>
    <w:rsid w:val="6DB545B6"/>
    <w:rsid w:val="6DE02FB4"/>
    <w:rsid w:val="6DFD64EC"/>
    <w:rsid w:val="6E1A51E0"/>
    <w:rsid w:val="6E3C2D80"/>
    <w:rsid w:val="6E514CED"/>
    <w:rsid w:val="6EB563D5"/>
    <w:rsid w:val="6EB86658"/>
    <w:rsid w:val="6ED07197"/>
    <w:rsid w:val="6ED4651A"/>
    <w:rsid w:val="6ED92677"/>
    <w:rsid w:val="6F225983"/>
    <w:rsid w:val="6F835AAF"/>
    <w:rsid w:val="6FFC5590"/>
    <w:rsid w:val="706D1DD0"/>
    <w:rsid w:val="70856B87"/>
    <w:rsid w:val="70A42FE5"/>
    <w:rsid w:val="70A600B6"/>
    <w:rsid w:val="70C61BC5"/>
    <w:rsid w:val="70D527EE"/>
    <w:rsid w:val="71222BF2"/>
    <w:rsid w:val="71421949"/>
    <w:rsid w:val="714E16FC"/>
    <w:rsid w:val="715B5300"/>
    <w:rsid w:val="716F34FB"/>
    <w:rsid w:val="717F520B"/>
    <w:rsid w:val="71D27F8A"/>
    <w:rsid w:val="721277E2"/>
    <w:rsid w:val="72553024"/>
    <w:rsid w:val="727258E0"/>
    <w:rsid w:val="72784078"/>
    <w:rsid w:val="729748D5"/>
    <w:rsid w:val="72A12471"/>
    <w:rsid w:val="72AB41A3"/>
    <w:rsid w:val="72AB63C0"/>
    <w:rsid w:val="73047082"/>
    <w:rsid w:val="73122968"/>
    <w:rsid w:val="731F5D5E"/>
    <w:rsid w:val="734E4B2E"/>
    <w:rsid w:val="73627630"/>
    <w:rsid w:val="736A1B18"/>
    <w:rsid w:val="737E769F"/>
    <w:rsid w:val="73940E05"/>
    <w:rsid w:val="73960549"/>
    <w:rsid w:val="73A839F6"/>
    <w:rsid w:val="73C51AD5"/>
    <w:rsid w:val="73E470FF"/>
    <w:rsid w:val="741E793C"/>
    <w:rsid w:val="74590447"/>
    <w:rsid w:val="745E3944"/>
    <w:rsid w:val="74A07AD0"/>
    <w:rsid w:val="74D05263"/>
    <w:rsid w:val="75250973"/>
    <w:rsid w:val="75497CA3"/>
    <w:rsid w:val="757370D0"/>
    <w:rsid w:val="75802111"/>
    <w:rsid w:val="75A80267"/>
    <w:rsid w:val="75C42D5D"/>
    <w:rsid w:val="761738FD"/>
    <w:rsid w:val="7635099D"/>
    <w:rsid w:val="76C13F66"/>
    <w:rsid w:val="76E14470"/>
    <w:rsid w:val="76FC1C0F"/>
    <w:rsid w:val="77521C02"/>
    <w:rsid w:val="77762421"/>
    <w:rsid w:val="778E0161"/>
    <w:rsid w:val="77A21F36"/>
    <w:rsid w:val="77A96591"/>
    <w:rsid w:val="77B56B1F"/>
    <w:rsid w:val="780F09F4"/>
    <w:rsid w:val="78191875"/>
    <w:rsid w:val="781970E5"/>
    <w:rsid w:val="78212F57"/>
    <w:rsid w:val="78393FFF"/>
    <w:rsid w:val="784B2BBD"/>
    <w:rsid w:val="7854243D"/>
    <w:rsid w:val="78A31954"/>
    <w:rsid w:val="78A90480"/>
    <w:rsid w:val="78BD6A2C"/>
    <w:rsid w:val="78E448AF"/>
    <w:rsid w:val="78FF234E"/>
    <w:rsid w:val="79067318"/>
    <w:rsid w:val="79075F08"/>
    <w:rsid w:val="7925593E"/>
    <w:rsid w:val="7930573B"/>
    <w:rsid w:val="793E23FC"/>
    <w:rsid w:val="7941445F"/>
    <w:rsid w:val="79E6098F"/>
    <w:rsid w:val="79EB3E0F"/>
    <w:rsid w:val="7A0A6154"/>
    <w:rsid w:val="7A364017"/>
    <w:rsid w:val="7A42643A"/>
    <w:rsid w:val="7A7E10E6"/>
    <w:rsid w:val="7A8265E1"/>
    <w:rsid w:val="7A9772F7"/>
    <w:rsid w:val="7AAC63C8"/>
    <w:rsid w:val="7AC26DA8"/>
    <w:rsid w:val="7B0B6BD9"/>
    <w:rsid w:val="7B2958CC"/>
    <w:rsid w:val="7B2C1D18"/>
    <w:rsid w:val="7B6130FB"/>
    <w:rsid w:val="7B686D42"/>
    <w:rsid w:val="7B690757"/>
    <w:rsid w:val="7B841746"/>
    <w:rsid w:val="7BA11571"/>
    <w:rsid w:val="7BA16BBB"/>
    <w:rsid w:val="7BC03E98"/>
    <w:rsid w:val="7BD8525D"/>
    <w:rsid w:val="7BFE4A2A"/>
    <w:rsid w:val="7C237673"/>
    <w:rsid w:val="7C6C5AC7"/>
    <w:rsid w:val="7C833A9B"/>
    <w:rsid w:val="7CC6544B"/>
    <w:rsid w:val="7CD912F4"/>
    <w:rsid w:val="7CEF5CFB"/>
    <w:rsid w:val="7D0239FF"/>
    <w:rsid w:val="7D3B093C"/>
    <w:rsid w:val="7D5D11FF"/>
    <w:rsid w:val="7D5E40CD"/>
    <w:rsid w:val="7D63567A"/>
    <w:rsid w:val="7DCD56F2"/>
    <w:rsid w:val="7DE63306"/>
    <w:rsid w:val="7DE7628B"/>
    <w:rsid w:val="7DF1320A"/>
    <w:rsid w:val="7E235FE5"/>
    <w:rsid w:val="7E252A44"/>
    <w:rsid w:val="7E5B43FE"/>
    <w:rsid w:val="7E97190E"/>
    <w:rsid w:val="7E977CD1"/>
    <w:rsid w:val="7ECF611A"/>
    <w:rsid w:val="7EDA196C"/>
    <w:rsid w:val="7EFF7EA0"/>
    <w:rsid w:val="7F001CE7"/>
    <w:rsid w:val="7F0816E1"/>
    <w:rsid w:val="7F586F90"/>
    <w:rsid w:val="7F7E679B"/>
    <w:rsid w:val="7F88243B"/>
    <w:rsid w:val="7F895EDA"/>
    <w:rsid w:val="7FE47E50"/>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autoRedefine/>
    <w:qFormat/>
    <w:locked/>
    <w:uiPriority w:val="0"/>
    <w:pPr>
      <w:adjustRightInd w:val="0"/>
      <w:spacing w:line="360" w:lineRule="auto"/>
      <w:jc w:val="left"/>
      <w:outlineLvl w:val="1"/>
    </w:pPr>
    <w:rPr>
      <w:bCs/>
      <w:sz w:val="28"/>
      <w:szCs w:val="20"/>
    </w:rPr>
  </w:style>
  <w:style w:type="paragraph" w:styleId="2">
    <w:name w:val="heading 3"/>
    <w:basedOn w:val="1"/>
    <w:next w:val="1"/>
    <w:autoRedefine/>
    <w:qFormat/>
    <w:locked/>
    <w:uiPriority w:val="0"/>
    <w:pPr>
      <w:keepNext/>
      <w:keepLines/>
      <w:adjustRightInd w:val="0"/>
      <w:spacing w:line="360" w:lineRule="auto"/>
      <w:jc w:val="left"/>
      <w:outlineLvl w:val="2"/>
    </w:pPr>
    <w:rPr>
      <w:rFonts w:ascii="宋体" w:hAnsi="宋体"/>
      <w:bCs/>
      <w:color w:val="000000"/>
      <w:sz w:val="28"/>
      <w:szCs w:val="20"/>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locked/>
    <w:uiPriority w:val="0"/>
    <w:pPr>
      <w:ind w:firstLine="420" w:firstLineChars="200"/>
    </w:pPr>
    <w:rPr>
      <w:szCs w:val="20"/>
    </w:rPr>
  </w:style>
  <w:style w:type="paragraph" w:styleId="6">
    <w:name w:val="annotation text"/>
    <w:basedOn w:val="1"/>
    <w:link w:val="26"/>
    <w:autoRedefine/>
    <w:semiHidden/>
    <w:qFormat/>
    <w:uiPriority w:val="0"/>
    <w:pPr>
      <w:jc w:val="left"/>
    </w:pPr>
    <w:rPr>
      <w:kern w:val="0"/>
      <w:sz w:val="24"/>
      <w:szCs w:val="20"/>
    </w:rPr>
  </w:style>
  <w:style w:type="paragraph" w:styleId="7">
    <w:name w:val="Body Text"/>
    <w:basedOn w:val="1"/>
    <w:link w:val="27"/>
    <w:autoRedefine/>
    <w:qFormat/>
    <w:uiPriority w:val="0"/>
    <w:pPr>
      <w:widowControl/>
      <w:snapToGrid w:val="0"/>
      <w:spacing w:before="60" w:after="160" w:line="259" w:lineRule="auto"/>
      <w:ind w:right="113"/>
    </w:pPr>
    <w:rPr>
      <w:kern w:val="0"/>
      <w:sz w:val="18"/>
      <w:szCs w:val="20"/>
    </w:rPr>
  </w:style>
  <w:style w:type="paragraph" w:styleId="8">
    <w:name w:val="Body Text Indent"/>
    <w:basedOn w:val="1"/>
    <w:link w:val="28"/>
    <w:autoRedefine/>
    <w:qFormat/>
    <w:uiPriority w:val="0"/>
    <w:pPr>
      <w:spacing w:after="120"/>
      <w:ind w:left="420" w:leftChars="200"/>
    </w:pPr>
    <w:rPr>
      <w:kern w:val="0"/>
      <w:sz w:val="24"/>
      <w:szCs w:val="20"/>
    </w:rPr>
  </w:style>
  <w:style w:type="paragraph" w:styleId="9">
    <w:name w:val="Plain Text"/>
    <w:basedOn w:val="1"/>
    <w:autoRedefine/>
    <w:qFormat/>
    <w:locked/>
    <w:uiPriority w:val="0"/>
    <w:rPr>
      <w:rFonts w:ascii="宋体" w:hAnsi="Courier New"/>
      <w:szCs w:val="20"/>
    </w:rPr>
  </w:style>
  <w:style w:type="paragraph" w:styleId="10">
    <w:name w:val="Date"/>
    <w:basedOn w:val="1"/>
    <w:next w:val="1"/>
    <w:link w:val="29"/>
    <w:autoRedefine/>
    <w:qFormat/>
    <w:uiPriority w:val="0"/>
    <w:pPr>
      <w:ind w:left="100" w:leftChars="2500"/>
    </w:pPr>
    <w:rPr>
      <w:kern w:val="0"/>
      <w:sz w:val="24"/>
      <w:szCs w:val="20"/>
    </w:rPr>
  </w:style>
  <w:style w:type="paragraph" w:styleId="11">
    <w:name w:val="Body Text Indent 2"/>
    <w:basedOn w:val="1"/>
    <w:autoRedefine/>
    <w:qFormat/>
    <w:locked/>
    <w:uiPriority w:val="0"/>
    <w:pPr>
      <w:spacing w:after="120" w:line="480" w:lineRule="auto"/>
      <w:ind w:left="420" w:leftChars="200"/>
    </w:pPr>
  </w:style>
  <w:style w:type="paragraph" w:styleId="12">
    <w:name w:val="Balloon Text"/>
    <w:basedOn w:val="1"/>
    <w:link w:val="30"/>
    <w:autoRedefine/>
    <w:semiHidden/>
    <w:qFormat/>
    <w:uiPriority w:val="0"/>
    <w:rPr>
      <w:kern w:val="0"/>
      <w:sz w:val="18"/>
      <w:szCs w:val="20"/>
    </w:rPr>
  </w:style>
  <w:style w:type="paragraph" w:styleId="13">
    <w:name w:val="footer"/>
    <w:basedOn w:val="1"/>
    <w:link w:val="31"/>
    <w:autoRedefine/>
    <w:qFormat/>
    <w:uiPriority w:val="99"/>
    <w:pPr>
      <w:tabs>
        <w:tab w:val="center" w:pos="4153"/>
        <w:tab w:val="right" w:pos="8306"/>
      </w:tabs>
      <w:snapToGrid w:val="0"/>
      <w:jc w:val="left"/>
    </w:pPr>
    <w:rPr>
      <w:kern w:val="0"/>
      <w:sz w:val="18"/>
      <w:szCs w:val="20"/>
    </w:rPr>
  </w:style>
  <w:style w:type="paragraph" w:styleId="14">
    <w:name w:val="header"/>
    <w:basedOn w:val="1"/>
    <w:link w:val="32"/>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15">
    <w:name w:val="List"/>
    <w:basedOn w:val="1"/>
    <w:autoRedefine/>
    <w:qFormat/>
    <w:locked/>
    <w:uiPriority w:val="0"/>
    <w:pPr>
      <w:spacing w:line="400" w:lineRule="exact"/>
      <w:jc w:val="center"/>
    </w:pPr>
    <w:rPr>
      <w:rFonts w:ascii="宋体" w:hAnsi="宋体"/>
      <w:sz w:val="24"/>
      <w:szCs w:val="20"/>
    </w:rPr>
  </w:style>
  <w:style w:type="paragraph" w:styleId="16">
    <w:name w:val="Normal (Web)"/>
    <w:basedOn w:val="1"/>
    <w:link w:val="33"/>
    <w:autoRedefine/>
    <w:qFormat/>
    <w:uiPriority w:val="0"/>
    <w:pPr>
      <w:widowControl/>
      <w:spacing w:before="100" w:beforeAutospacing="1" w:after="100" w:afterAutospacing="1"/>
      <w:jc w:val="left"/>
    </w:pPr>
    <w:rPr>
      <w:rFonts w:ascii="宋体" w:hAnsi="宋体"/>
      <w:kern w:val="0"/>
      <w:sz w:val="24"/>
      <w:szCs w:val="20"/>
    </w:rPr>
  </w:style>
  <w:style w:type="paragraph" w:styleId="17">
    <w:name w:val="annotation subject"/>
    <w:basedOn w:val="6"/>
    <w:next w:val="6"/>
    <w:link w:val="34"/>
    <w:autoRedefine/>
    <w:semiHidden/>
    <w:qFormat/>
    <w:uiPriority w:val="0"/>
    <w:rPr>
      <w:b/>
    </w:rPr>
  </w:style>
  <w:style w:type="paragraph" w:styleId="18">
    <w:name w:val="Body Text First Indent"/>
    <w:basedOn w:val="7"/>
    <w:autoRedefine/>
    <w:unhideWhenUsed/>
    <w:qFormat/>
    <w:locked/>
    <w:uiPriority w:val="0"/>
    <w:pPr>
      <w:ind w:firstLine="420" w:firstLineChars="100"/>
    </w:p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autoRedefine/>
    <w:qFormat/>
    <w:locked/>
    <w:uiPriority w:val="0"/>
  </w:style>
  <w:style w:type="character" w:styleId="23">
    <w:name w:val="annotation reference"/>
    <w:autoRedefine/>
    <w:semiHidden/>
    <w:qFormat/>
    <w:uiPriority w:val="0"/>
    <w:rPr>
      <w:sz w:val="21"/>
    </w:rPr>
  </w:style>
  <w:style w:type="paragraph" w:customStyle="1" w:styleId="24">
    <w:name w:val="Default"/>
    <w:basedOn w:val="25"/>
    <w:autoRedefine/>
    <w:qFormat/>
    <w:uiPriority w:val="0"/>
    <w:pPr>
      <w:widowControl w:val="0"/>
      <w:autoSpaceDE w:val="0"/>
      <w:autoSpaceDN w:val="0"/>
      <w:adjustRightInd w:val="0"/>
    </w:pPr>
    <w:rPr>
      <w:rFonts w:ascii="宋体" w:hAnsi="宋体" w:eastAsia="等线" w:cs="宋体"/>
      <w:color w:val="000000"/>
      <w:sz w:val="24"/>
    </w:rPr>
  </w:style>
  <w:style w:type="paragraph" w:customStyle="1" w:styleId="25">
    <w:name w:val="标题 段落4级"/>
    <w:autoRedefine/>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26">
    <w:name w:val="批注文字 Char"/>
    <w:link w:val="6"/>
    <w:autoRedefine/>
    <w:qFormat/>
    <w:locked/>
    <w:uiPriority w:val="0"/>
    <w:rPr>
      <w:rFonts w:ascii="Times New Roman" w:hAnsi="Times New Roman" w:eastAsia="宋体"/>
      <w:sz w:val="24"/>
    </w:rPr>
  </w:style>
  <w:style w:type="character" w:customStyle="1" w:styleId="27">
    <w:name w:val="正文文本 Char"/>
    <w:link w:val="7"/>
    <w:autoRedefine/>
    <w:qFormat/>
    <w:locked/>
    <w:uiPriority w:val="0"/>
    <w:rPr>
      <w:sz w:val="18"/>
    </w:rPr>
  </w:style>
  <w:style w:type="character" w:customStyle="1" w:styleId="28">
    <w:name w:val="正文文本缩进 Char"/>
    <w:link w:val="8"/>
    <w:autoRedefine/>
    <w:semiHidden/>
    <w:qFormat/>
    <w:locked/>
    <w:uiPriority w:val="0"/>
    <w:rPr>
      <w:rFonts w:ascii="Times New Roman" w:hAnsi="Times New Roman" w:eastAsia="宋体"/>
      <w:sz w:val="24"/>
    </w:rPr>
  </w:style>
  <w:style w:type="character" w:customStyle="1" w:styleId="29">
    <w:name w:val="日期 Char"/>
    <w:link w:val="10"/>
    <w:autoRedefine/>
    <w:qFormat/>
    <w:locked/>
    <w:uiPriority w:val="0"/>
    <w:rPr>
      <w:rFonts w:ascii="Times New Roman" w:hAnsi="Times New Roman" w:eastAsia="宋体"/>
      <w:sz w:val="24"/>
    </w:rPr>
  </w:style>
  <w:style w:type="character" w:customStyle="1" w:styleId="30">
    <w:name w:val="批注框文本 Char"/>
    <w:link w:val="12"/>
    <w:autoRedefine/>
    <w:semiHidden/>
    <w:qFormat/>
    <w:locked/>
    <w:uiPriority w:val="0"/>
    <w:rPr>
      <w:rFonts w:ascii="Times New Roman" w:hAnsi="Times New Roman" w:eastAsia="宋体"/>
      <w:sz w:val="18"/>
    </w:rPr>
  </w:style>
  <w:style w:type="character" w:customStyle="1" w:styleId="31">
    <w:name w:val="页脚 Char"/>
    <w:link w:val="13"/>
    <w:autoRedefine/>
    <w:qFormat/>
    <w:locked/>
    <w:uiPriority w:val="99"/>
    <w:rPr>
      <w:sz w:val="18"/>
    </w:rPr>
  </w:style>
  <w:style w:type="character" w:customStyle="1" w:styleId="32">
    <w:name w:val="页眉 Char"/>
    <w:link w:val="14"/>
    <w:autoRedefine/>
    <w:qFormat/>
    <w:locked/>
    <w:uiPriority w:val="0"/>
    <w:rPr>
      <w:sz w:val="18"/>
    </w:rPr>
  </w:style>
  <w:style w:type="character" w:customStyle="1" w:styleId="33">
    <w:name w:val="普通(网站) Char"/>
    <w:link w:val="16"/>
    <w:autoRedefine/>
    <w:qFormat/>
    <w:locked/>
    <w:uiPriority w:val="0"/>
    <w:rPr>
      <w:rFonts w:ascii="宋体" w:hAnsi="宋体" w:eastAsia="宋体"/>
      <w:sz w:val="24"/>
    </w:rPr>
  </w:style>
  <w:style w:type="character" w:customStyle="1" w:styleId="34">
    <w:name w:val="批注主题 Char"/>
    <w:link w:val="17"/>
    <w:autoRedefine/>
    <w:semiHidden/>
    <w:qFormat/>
    <w:locked/>
    <w:uiPriority w:val="0"/>
    <w:rPr>
      <w:rFonts w:ascii="Times New Roman" w:hAnsi="Times New Roman" w:eastAsia="宋体"/>
      <w:b/>
      <w:kern w:val="2"/>
      <w:sz w:val="24"/>
    </w:rPr>
  </w:style>
  <w:style w:type="character" w:customStyle="1" w:styleId="35">
    <w:name w:val="页脚 字符"/>
    <w:basedOn w:val="21"/>
    <w:autoRedefine/>
    <w:qFormat/>
    <w:uiPriority w:val="99"/>
  </w:style>
  <w:style w:type="character" w:customStyle="1" w:styleId="36">
    <w:name w:val="表格 Char"/>
    <w:link w:val="37"/>
    <w:autoRedefine/>
    <w:qFormat/>
    <w:locked/>
    <w:uiPriority w:val="0"/>
    <w:rPr>
      <w:rFonts w:ascii="宋体"/>
      <w:sz w:val="21"/>
    </w:rPr>
  </w:style>
  <w:style w:type="paragraph" w:customStyle="1" w:styleId="37">
    <w:name w:val="表格"/>
    <w:basedOn w:val="1"/>
    <w:next w:val="1"/>
    <w:link w:val="36"/>
    <w:autoRedefine/>
    <w:qFormat/>
    <w:uiPriority w:val="0"/>
    <w:pPr>
      <w:adjustRightInd w:val="0"/>
      <w:snapToGrid w:val="0"/>
      <w:spacing w:beforeLines="10" w:afterLines="10" w:line="259" w:lineRule="auto"/>
      <w:jc w:val="center"/>
    </w:pPr>
    <w:rPr>
      <w:rFonts w:ascii="宋体"/>
      <w:kern w:val="0"/>
      <w:szCs w:val="20"/>
    </w:rPr>
  </w:style>
  <w:style w:type="character" w:customStyle="1" w:styleId="38">
    <w:name w:val="批注文字 字符1"/>
    <w:autoRedefine/>
    <w:semiHidden/>
    <w:qFormat/>
    <w:uiPriority w:val="0"/>
    <w:rPr>
      <w:rFonts w:ascii="Times New Roman" w:hAnsi="Times New Roman" w:eastAsia="宋体"/>
      <w:sz w:val="24"/>
    </w:rPr>
  </w:style>
  <w:style w:type="character" w:customStyle="1" w:styleId="39">
    <w:name w:val="日期 字符"/>
    <w:autoRedefine/>
    <w:semiHidden/>
    <w:qFormat/>
    <w:uiPriority w:val="0"/>
    <w:rPr>
      <w:rFonts w:ascii="Times New Roman" w:hAnsi="Times New Roman" w:eastAsia="宋体"/>
      <w:sz w:val="24"/>
    </w:rPr>
  </w:style>
  <w:style w:type="character" w:customStyle="1" w:styleId="40">
    <w:name w:val="正文文本 字符1"/>
    <w:autoRedefine/>
    <w:semiHidden/>
    <w:qFormat/>
    <w:uiPriority w:val="0"/>
    <w:rPr>
      <w:rFonts w:ascii="Times New Roman" w:hAnsi="Times New Roman" w:eastAsia="宋体"/>
      <w:sz w:val="24"/>
    </w:rPr>
  </w:style>
  <w:style w:type="paragraph" w:customStyle="1" w:styleId="41">
    <w:name w:val="_Style 120"/>
    <w:basedOn w:val="8"/>
    <w:next w:val="18"/>
    <w:autoRedefine/>
    <w:qFormat/>
    <w:uiPriority w:val="0"/>
    <w:pPr>
      <w:tabs>
        <w:tab w:val="left" w:pos="1200"/>
      </w:tabs>
      <w:ind w:firstLine="420"/>
    </w:pPr>
    <w:rPr>
      <w:sz w:val="21"/>
      <w:szCs w:val="24"/>
    </w:rPr>
  </w:style>
  <w:style w:type="paragraph" w:customStyle="1" w:styleId="42">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3">
    <w:name w:val="Table Paragraph"/>
    <w:basedOn w:val="1"/>
    <w:autoRedefine/>
    <w:qFormat/>
    <w:uiPriority w:val="1"/>
    <w:pPr>
      <w:adjustRightInd w:val="0"/>
      <w:snapToGrid w:val="0"/>
      <w:jc w:val="center"/>
    </w:pPr>
    <w:rPr>
      <w:color w:val="000000"/>
      <w:kern w:val="0"/>
      <w:szCs w:val="21"/>
    </w:rPr>
  </w:style>
  <w:style w:type="paragraph" w:customStyle="1" w:styleId="44">
    <w:name w:val="0正文"/>
    <w:basedOn w:val="16"/>
    <w:autoRedefine/>
    <w:qFormat/>
    <w:uiPriority w:val="0"/>
    <w:pPr>
      <w:spacing w:beforeAutospacing="0" w:afterAutospacing="0" w:line="360" w:lineRule="auto"/>
      <w:ind w:firstLine="482"/>
      <w:jc w:val="both"/>
    </w:pPr>
    <w:rPr>
      <w:rFonts w:ascii="Times New Roman" w:hAnsi="Times New Roman"/>
      <w:kern w:val="2"/>
    </w:rPr>
  </w:style>
  <w:style w:type="paragraph" w:customStyle="1" w:styleId="45">
    <w:name w:val="表标题"/>
    <w:basedOn w:val="7"/>
    <w:next w:val="1"/>
    <w:autoRedefine/>
    <w:qFormat/>
    <w:uiPriority w:val="0"/>
    <w:pPr>
      <w:spacing w:line="400" w:lineRule="exact"/>
      <w:jc w:val="center"/>
    </w:pPr>
    <w:rPr>
      <w:snapToGrid w:val="0"/>
      <w:spacing w:val="-4"/>
      <w:sz w:val="24"/>
      <w:szCs w:val="28"/>
    </w:rPr>
  </w:style>
  <w:style w:type="paragraph" w:customStyle="1" w:styleId="46">
    <w:name w:val="表格文字"/>
    <w:basedOn w:val="11"/>
    <w:next w:val="1"/>
    <w:autoRedefine/>
    <w:qFormat/>
    <w:uiPriority w:val="0"/>
    <w:pPr>
      <w:spacing w:line="400" w:lineRule="exact"/>
      <w:jc w:val="center"/>
    </w:pPr>
    <w:rPr>
      <w:rFonts w:ascii="宋体" w:hAnsi="宋体" w:cs="宋体"/>
      <w:sz w:val="24"/>
      <w:szCs w:val="20"/>
    </w:rPr>
  </w:style>
  <w:style w:type="paragraph" w:customStyle="1" w:styleId="47">
    <w:name w:val="Other|1"/>
    <w:basedOn w:val="1"/>
    <w:autoRedefine/>
    <w:qFormat/>
    <w:uiPriority w:val="0"/>
    <w:pPr>
      <w:spacing w:line="234" w:lineRule="exact"/>
    </w:pPr>
    <w:rPr>
      <w:rFonts w:ascii="宋体" w:hAnsi="宋体" w:cs="宋体"/>
      <w:sz w:val="15"/>
      <w:szCs w:val="15"/>
      <w:lang w:val="zh-TW" w:eastAsia="zh-TW" w:bidi="zh-TW"/>
    </w:rPr>
  </w:style>
  <w:style w:type="paragraph" w:customStyle="1" w:styleId="48">
    <w:name w:val="表格 标题"/>
    <w:autoRedefine/>
    <w:qFormat/>
    <w:uiPriority w:val="0"/>
    <w:pPr>
      <w:widowControl w:val="0"/>
      <w:spacing w:beforeLines="20" w:afterLines="20"/>
      <w:jc w:val="center"/>
    </w:pPr>
    <w:rPr>
      <w:rFonts w:ascii="Times New Roman" w:hAnsi="Times New Roman" w:eastAsia="仿宋_GB2312" w:cs="Times New Roman"/>
      <w:b/>
      <w:sz w:val="24"/>
      <w:szCs w:val="24"/>
      <w:lang w:val="en-US" w:eastAsia="zh-CN" w:bidi="ar-SA"/>
    </w:rPr>
  </w:style>
  <w:style w:type="paragraph" w:customStyle="1" w:styleId="49">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50">
    <w:name w:val="小四表文左齐"/>
    <w:basedOn w:val="1"/>
    <w:autoRedefine/>
    <w:qFormat/>
    <w:uiPriority w:val="0"/>
    <w:pPr>
      <w:jc w:val="center"/>
    </w:pPr>
    <w:rPr>
      <w:rFonts w:ascii="宋体" w:hAnsi="宋体"/>
      <w:szCs w:val="20"/>
    </w:rPr>
  </w:style>
  <w:style w:type="paragraph" w:customStyle="1" w:styleId="51">
    <w:name w:val="正文-预案"/>
    <w:basedOn w:val="1"/>
    <w:autoRedefine/>
    <w:qFormat/>
    <w:uiPriority w:val="0"/>
    <w:pPr>
      <w:spacing w:before="60" w:line="360" w:lineRule="auto"/>
      <w:ind w:firstLine="200" w:firstLineChars="200"/>
    </w:pPr>
    <w:rPr>
      <w:rFonts w:ascii="Calibri" w:hAnsi="Calibri"/>
      <w:kern w:val="0"/>
      <w:sz w:val="24"/>
    </w:rPr>
  </w:style>
  <w:style w:type="paragraph" w:styleId="52">
    <w:name w:val="List Paragraph"/>
    <w:basedOn w:val="1"/>
    <w:autoRedefine/>
    <w:qFormat/>
    <w:uiPriority w:val="34"/>
    <w:pPr>
      <w:adjustRightInd w:val="0"/>
      <w:snapToGrid w:val="0"/>
      <w:spacing w:line="360" w:lineRule="auto"/>
      <w:ind w:firstLine="420" w:firstLineChars="200"/>
      <w:jc w:val="left"/>
    </w:pPr>
    <w:rPr>
      <w:rFonts w:ascii="等线" w:hAnsi="等线"/>
      <w:sz w:val="24"/>
      <w:szCs w:val="22"/>
    </w:rPr>
  </w:style>
  <w:style w:type="table" w:customStyle="1" w:styleId="53">
    <w:name w:val="Table Normal"/>
    <w:autoRedefine/>
    <w:unhideWhenUsed/>
    <w:qFormat/>
    <w:uiPriority w:val="0"/>
    <w:tblPr>
      <w:tblCellMar>
        <w:top w:w="0" w:type="dxa"/>
        <w:left w:w="0" w:type="dxa"/>
        <w:bottom w:w="0" w:type="dxa"/>
        <w:right w:w="0" w:type="dxa"/>
      </w:tblCellMar>
    </w:tblPr>
  </w:style>
  <w:style w:type="paragraph" w:customStyle="1" w:styleId="54">
    <w:name w:val="0-表格内容"/>
    <w:basedOn w:val="1"/>
    <w:next w:val="1"/>
    <w:autoRedefine/>
    <w:qFormat/>
    <w:uiPriority w:val="0"/>
    <w:pPr>
      <w:widowControl/>
      <w:jc w:val="center"/>
    </w:pPr>
    <w:rPr>
      <w:kern w:val="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72</Pages>
  <Words>47423</Words>
  <Characters>6968</Characters>
  <Lines>58</Lines>
  <Paragraphs>108</Paragraphs>
  <TotalTime>1</TotalTime>
  <ScaleCrop>false</ScaleCrop>
  <LinksUpToDate>false</LinksUpToDate>
  <CharactersWithSpaces>54283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青</cp:lastModifiedBy>
  <cp:lastPrinted>2023-07-03T05:32:00Z</cp:lastPrinted>
  <dcterms:modified xsi:type="dcterms:W3CDTF">2024-02-22T07:41:52Z</dcterms:modified>
  <dc:title>附件2</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672C2DA5E21D42498011769C2DBBC466_13</vt:lpwstr>
  </property>
</Properties>
</file>